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B699A7">
      <w:pPr>
        <w:widowControl/>
        <w:jc w:val="left"/>
        <w:rPr>
          <w:rFonts w:ascii="黑体" w:hAnsi="黑体" w:eastAsia="黑体"/>
          <w:color w:val="000000"/>
          <w:kern w:val="0"/>
          <w:sz w:val="15"/>
          <w:szCs w:val="15"/>
        </w:rPr>
      </w:pPr>
    </w:p>
    <w:p w14:paraId="0B2D16B1">
      <w:pPr>
        <w:pStyle w:val="2"/>
        <w:snapToGrid w:val="0"/>
        <w:spacing w:before="240" w:beforeLines="100" w:after="240" w:afterLines="100" w:line="240" w:lineRule="exact"/>
        <w:ind w:firstLine="0" w:firstLineChars="0"/>
        <w:rPr>
          <w:rFonts w:ascii="黑体" w:hAnsi="黑体" w:eastAsia="黑体"/>
          <w:color w:val="000000"/>
          <w:kern w:val="0"/>
          <w:sz w:val="15"/>
          <w:szCs w:val="15"/>
        </w:rPr>
      </w:pPr>
    </w:p>
    <w:p w14:paraId="1D1D3E51">
      <w:pPr>
        <w:jc w:val="center"/>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6</w:t>
      </w:r>
      <w:r>
        <w:rPr>
          <w:rFonts w:hint="eastAsia" w:ascii="黑体" w:hAnsi="黑体" w:eastAsia="黑体"/>
          <w:sz w:val="36"/>
          <w:szCs w:val="36"/>
        </w:rPr>
        <w:t>年全国硕士研究生招生考试鱼类生态学</w:t>
      </w:r>
    </w:p>
    <w:p w14:paraId="0762A5D9">
      <w:pPr>
        <w:jc w:val="center"/>
        <w:rPr>
          <w:rFonts w:ascii="黑体" w:hAnsi="黑体" w:eastAsia="黑体"/>
          <w:sz w:val="36"/>
          <w:szCs w:val="36"/>
        </w:rPr>
      </w:pPr>
    </w:p>
    <w:p w14:paraId="744D39CD">
      <w:pPr>
        <w:jc w:val="center"/>
      </w:pPr>
      <w:r>
        <w:rPr>
          <w:rFonts w:hint="eastAsia" w:ascii="黑体" w:hAnsi="黑体" w:eastAsia="黑体"/>
          <w:sz w:val="36"/>
          <w:szCs w:val="36"/>
        </w:rPr>
        <w:t>考试大纲(840)</w:t>
      </w:r>
    </w:p>
    <w:p w14:paraId="273C028E">
      <w:pPr>
        <w:rPr>
          <w:rFonts w:ascii="华文中宋" w:hAnsi="华文中宋" w:eastAsia="华文中宋"/>
          <w:b/>
        </w:rPr>
      </w:pPr>
      <w:r>
        <w:rPr>
          <w:rFonts w:hint="eastAsia" w:ascii="华文中宋" w:hAnsi="华文中宋" w:eastAsia="华文中宋"/>
          <w:b/>
        </w:rPr>
        <w:t>Ⅰ</w:t>
      </w:r>
      <w:r>
        <w:rPr>
          <w:rFonts w:ascii="华文中宋" w:hAnsi="华文中宋" w:eastAsia="华文中宋"/>
          <w:b/>
        </w:rPr>
        <w:t>．考试性质</w:t>
      </w:r>
    </w:p>
    <w:p w14:paraId="23C45B3B">
      <w:pPr>
        <w:spacing w:line="440" w:lineRule="exact"/>
      </w:pPr>
      <w:r>
        <w:t>　 　</w:t>
      </w:r>
      <w:r>
        <w:rPr>
          <w:rFonts w:hint="eastAsia"/>
        </w:rPr>
        <w:t>鱼类生态学</w:t>
      </w:r>
      <w:r>
        <w:t>理论考试是为高等院校和科研院所招收</w:t>
      </w:r>
      <w:r>
        <w:rPr>
          <w:rFonts w:hint="eastAsia"/>
        </w:rPr>
        <w:t>渔业类</w:t>
      </w:r>
      <w:r>
        <w:t>硕士研究生而设置的具有选拔性质的全国招生考试科目，其目的是科学、公平、有效地测试考生掌握</w:t>
      </w:r>
      <w:r>
        <w:rPr>
          <w:rFonts w:hint="eastAsia"/>
        </w:rPr>
        <w:t>鱼类生态学科及其关联学科方面的</w:t>
      </w:r>
      <w:r>
        <w:t>基本知识、基本理论，以及运用</w:t>
      </w:r>
      <w:r>
        <w:rPr>
          <w:rFonts w:hint="eastAsia"/>
        </w:rPr>
        <w:t>鱼类生态学原理</w:t>
      </w:r>
      <w:r>
        <w:t>和方法分析和解决</w:t>
      </w:r>
      <w:r>
        <w:rPr>
          <w:rFonts w:hint="eastAsia"/>
        </w:rPr>
        <w:t>水产养殖生产实践中的</w:t>
      </w:r>
      <w:r>
        <w:t>问题的能力，评价的标准是高等学校本科毕业生能达到的及格或及格以上水平，以保证被录取者具有基本的</w:t>
      </w:r>
      <w:r>
        <w:rPr>
          <w:rFonts w:hint="eastAsia"/>
        </w:rPr>
        <w:t>鱼类生态及水产相关学科方面的</w:t>
      </w:r>
      <w:r>
        <w:t>理论素质，并有利于各高等院校和科研院所在专业上择优选拔。</w:t>
      </w:r>
    </w:p>
    <w:p w14:paraId="761828D5">
      <w:pPr>
        <w:rPr>
          <w:rFonts w:ascii="黑体" w:hAnsi="黑体" w:eastAsia="黑体"/>
        </w:rPr>
      </w:pPr>
      <w:r>
        <w:rPr>
          <w:rFonts w:hint="eastAsia" w:ascii="黑体" w:hAnsi="黑体" w:eastAsia="黑体"/>
        </w:rPr>
        <w:t>Ⅱ</w:t>
      </w:r>
      <w:r>
        <w:rPr>
          <w:rFonts w:ascii="黑体" w:hAnsi="黑体" w:eastAsia="黑体"/>
        </w:rPr>
        <w:t>．考查目标</w:t>
      </w:r>
    </w:p>
    <w:p w14:paraId="56BEE67A">
      <w:pPr>
        <w:spacing w:line="440" w:lineRule="exact"/>
        <w:ind w:firstLine="420"/>
        <w:rPr>
          <w:szCs w:val="22"/>
        </w:rPr>
      </w:pPr>
      <w:r>
        <w:rPr>
          <w:rFonts w:hint="eastAsia"/>
        </w:rPr>
        <w:t>鱼类生态学</w:t>
      </w:r>
      <w:r>
        <w:rPr>
          <w:rFonts w:hint="eastAsia"/>
          <w:szCs w:val="22"/>
        </w:rPr>
        <w:t>理论考试涵盖基础生态学基本原理、水域生态学特性、鱼类个体生态学、鱼类种群、群落与生态系统、养殖水域生态系统应用与环境修复等相关内容。</w:t>
      </w:r>
    </w:p>
    <w:p w14:paraId="425ED624">
      <w:pPr>
        <w:spacing w:line="440" w:lineRule="exact"/>
        <w:ind w:firstLine="420"/>
        <w:rPr>
          <w:szCs w:val="22"/>
        </w:rPr>
      </w:pPr>
      <w:r>
        <w:rPr>
          <w:rFonts w:hint="eastAsia"/>
          <w:szCs w:val="22"/>
        </w:rPr>
        <w:t>要求考生：</w:t>
      </w:r>
    </w:p>
    <w:p w14:paraId="1E9E5F2C">
      <w:pPr>
        <w:spacing w:line="440" w:lineRule="exact"/>
        <w:rPr>
          <w:szCs w:val="22"/>
        </w:rPr>
      </w:pPr>
      <w:r>
        <w:rPr>
          <w:rFonts w:hint="eastAsia"/>
          <w:szCs w:val="22"/>
        </w:rPr>
        <w:t>　　1．准确地再认或再现鱼类生态及其关联学科的有关知识。</w:t>
      </w:r>
    </w:p>
    <w:p w14:paraId="082249C5">
      <w:pPr>
        <w:spacing w:line="440" w:lineRule="exact"/>
        <w:rPr>
          <w:szCs w:val="22"/>
        </w:rPr>
      </w:pPr>
      <w:r>
        <w:rPr>
          <w:rFonts w:hint="eastAsia"/>
          <w:szCs w:val="22"/>
        </w:rPr>
        <w:t>　　2．准确、恰当地使用本学科的专业术语，正确理解和掌握学科的有关范畴、规律和论断。</w:t>
      </w:r>
    </w:p>
    <w:p w14:paraId="0BD6DA83">
      <w:pPr>
        <w:spacing w:line="440" w:lineRule="exact"/>
        <w:rPr>
          <w:szCs w:val="22"/>
        </w:rPr>
      </w:pPr>
      <w:r>
        <w:rPr>
          <w:rFonts w:hint="eastAsia"/>
          <w:szCs w:val="22"/>
        </w:rPr>
        <w:t>　　3．运用有关生态学原理，解释和论证养殖水域学科中存在的观点和学说。</w:t>
      </w:r>
    </w:p>
    <w:p w14:paraId="30171587">
      <w:pPr>
        <w:spacing w:line="440" w:lineRule="exact"/>
        <w:rPr>
          <w:szCs w:val="22"/>
        </w:rPr>
      </w:pPr>
      <w:r>
        <w:rPr>
          <w:rFonts w:hint="eastAsia"/>
          <w:szCs w:val="22"/>
        </w:rPr>
        <w:t>　　4．运用水域生态原理和方法，比较和分析有关水产生产中出现现象或实际问题。</w:t>
      </w:r>
    </w:p>
    <w:p w14:paraId="41BAF907">
      <w:pPr>
        <w:spacing w:line="440" w:lineRule="exact"/>
        <w:ind w:firstLine="420" w:firstLineChars="200"/>
        <w:rPr>
          <w:szCs w:val="22"/>
        </w:rPr>
      </w:pPr>
      <w:r>
        <w:rPr>
          <w:rFonts w:hint="eastAsia"/>
          <w:szCs w:val="22"/>
        </w:rPr>
        <w:t>5．结合特定的养殖水域环境条件、生产实际，认识和评价有关理论问题和实际问题。</w:t>
      </w:r>
    </w:p>
    <w:p w14:paraId="3554CB8C">
      <w:pPr>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14:paraId="3126FB4F">
      <w:pPr>
        <w:rPr>
          <w:rFonts w:ascii="华文中宋" w:hAnsi="华文中宋" w:eastAsia="华文中宋"/>
          <w:b/>
        </w:rPr>
      </w:pPr>
      <w:r>
        <w:t>　　</w:t>
      </w:r>
      <w:r>
        <w:rPr>
          <w:rFonts w:ascii="华文中宋" w:hAnsi="华文中宋" w:eastAsia="华文中宋"/>
          <w:b/>
        </w:rPr>
        <w:t>一、试卷满分及考试时间</w:t>
      </w:r>
    </w:p>
    <w:p w14:paraId="27BF0692">
      <w:r>
        <w:t>　　</w:t>
      </w:r>
      <w:r>
        <w:rPr>
          <w:rFonts w:hint="eastAsia"/>
          <w:szCs w:val="22"/>
        </w:rPr>
        <w:t>本试</w:t>
      </w:r>
      <w:r>
        <w:t>卷满分为1</w:t>
      </w:r>
      <w:r>
        <w:rPr>
          <w:rFonts w:hint="eastAsia"/>
        </w:rPr>
        <w:t>5</w:t>
      </w:r>
      <w:r>
        <w:t>0分，考试时间为180分钟。</w:t>
      </w:r>
    </w:p>
    <w:p w14:paraId="2AD5E7A0">
      <w:pPr>
        <w:rPr>
          <w:rFonts w:ascii="华文中宋" w:hAnsi="华文中宋" w:eastAsia="华文中宋"/>
          <w:b/>
        </w:rPr>
      </w:pPr>
      <w:r>
        <w:t>　　</w:t>
      </w:r>
      <w:r>
        <w:rPr>
          <w:rFonts w:ascii="华文中宋" w:hAnsi="华文中宋" w:eastAsia="华文中宋"/>
          <w:b/>
        </w:rPr>
        <w:t>二、答题方式</w:t>
      </w:r>
    </w:p>
    <w:p w14:paraId="40CCBAAD">
      <w:r>
        <w:t>　　答题方式为闭卷、笔试。</w:t>
      </w:r>
    </w:p>
    <w:p w14:paraId="0A6BA1AF">
      <w:pPr>
        <w:rPr>
          <w:rFonts w:ascii="华文中宋" w:hAnsi="华文中宋" w:eastAsia="华文中宋"/>
          <w:b/>
        </w:rPr>
      </w:pPr>
      <w:r>
        <w:t>　　</w:t>
      </w:r>
      <w:r>
        <w:rPr>
          <w:rFonts w:ascii="华文中宋" w:hAnsi="华文中宋" w:eastAsia="华文中宋"/>
          <w:b/>
        </w:rPr>
        <w:t>三、试卷内容结构</w:t>
      </w:r>
    </w:p>
    <w:p w14:paraId="4467AC86">
      <w:pPr>
        <w:spacing w:line="440" w:lineRule="exact"/>
        <w:rPr>
          <w:szCs w:val="22"/>
        </w:rPr>
      </w:pPr>
      <w:r>
        <w:t>　　</w:t>
      </w:r>
      <w:r>
        <w:rPr>
          <w:rFonts w:hint="eastAsia"/>
          <w:szCs w:val="22"/>
        </w:rPr>
        <w:t>基础生态学约15%</w:t>
      </w:r>
    </w:p>
    <w:p w14:paraId="54F5C3AF">
      <w:pPr>
        <w:spacing w:line="440" w:lineRule="exact"/>
        <w:rPr>
          <w:szCs w:val="22"/>
        </w:rPr>
      </w:pPr>
      <w:r>
        <w:rPr>
          <w:rFonts w:hint="eastAsia"/>
          <w:szCs w:val="22"/>
        </w:rPr>
        <w:t>　　鱼类个体生态学约15%</w:t>
      </w:r>
    </w:p>
    <w:p w14:paraId="09B14D8A">
      <w:pPr>
        <w:spacing w:line="440" w:lineRule="exact"/>
        <w:rPr>
          <w:szCs w:val="22"/>
        </w:rPr>
      </w:pPr>
      <w:r>
        <w:rPr>
          <w:rFonts w:hint="eastAsia"/>
          <w:szCs w:val="22"/>
        </w:rPr>
        <w:t>　　水域生态种群、群落与生态系统约40%</w:t>
      </w:r>
    </w:p>
    <w:p w14:paraId="02FFE1F0">
      <w:pPr>
        <w:spacing w:line="440" w:lineRule="exact"/>
        <w:ind w:firstLine="420" w:firstLineChars="200"/>
        <w:rPr>
          <w:szCs w:val="22"/>
        </w:rPr>
      </w:pPr>
      <w:r>
        <w:rPr>
          <w:rFonts w:hint="eastAsia"/>
          <w:szCs w:val="22"/>
        </w:rPr>
        <w:t>养殖水域生态系统应用与环境修复约30%</w:t>
      </w:r>
    </w:p>
    <w:p w14:paraId="42E82C1C">
      <w:pPr>
        <w:spacing w:line="440" w:lineRule="exact"/>
        <w:rPr>
          <w:szCs w:val="22"/>
        </w:rPr>
      </w:pPr>
    </w:p>
    <w:p w14:paraId="3417B652">
      <w:pPr>
        <w:rPr>
          <w:rFonts w:ascii="华文中宋" w:hAnsi="华文中宋" w:eastAsia="华文中宋"/>
          <w:b/>
        </w:rPr>
      </w:pPr>
      <w:r>
        <w:t>　　</w:t>
      </w:r>
      <w:r>
        <w:rPr>
          <w:rFonts w:ascii="华文中宋" w:hAnsi="华文中宋" w:eastAsia="华文中宋"/>
          <w:b/>
        </w:rPr>
        <w:t>四、试卷题型结构</w:t>
      </w:r>
    </w:p>
    <w:p w14:paraId="1318FC30">
      <w:pPr>
        <w:spacing w:line="440" w:lineRule="exact"/>
        <w:rPr>
          <w:szCs w:val="22"/>
        </w:rPr>
      </w:pPr>
      <w:r>
        <w:t>　　</w:t>
      </w:r>
      <w:r>
        <w:rPr>
          <w:rFonts w:hint="eastAsia"/>
          <w:szCs w:val="22"/>
        </w:rPr>
        <w:t>名词解释题30分（10小题，每小题3分）</w:t>
      </w:r>
    </w:p>
    <w:p w14:paraId="7D2625BF">
      <w:pPr>
        <w:spacing w:line="440" w:lineRule="exact"/>
        <w:rPr>
          <w:szCs w:val="22"/>
        </w:rPr>
      </w:pPr>
      <w:r>
        <w:rPr>
          <w:rFonts w:hint="eastAsia"/>
          <w:szCs w:val="22"/>
        </w:rPr>
        <w:t>　　简答题90分（9小题，每小题10分）</w:t>
      </w:r>
    </w:p>
    <w:p w14:paraId="2D8A8221">
      <w:pPr>
        <w:spacing w:line="440" w:lineRule="exact"/>
        <w:ind w:firstLine="420" w:firstLineChars="200"/>
        <w:rPr>
          <w:szCs w:val="22"/>
        </w:rPr>
      </w:pPr>
      <w:r>
        <w:rPr>
          <w:rFonts w:hint="eastAsia"/>
          <w:szCs w:val="22"/>
        </w:rPr>
        <w:t>论述题30分（2小题，每小题15分）</w:t>
      </w:r>
    </w:p>
    <w:p w14:paraId="741245B4">
      <w:pPr>
        <w:rPr>
          <w:rFonts w:ascii="黑体" w:hAnsi="黑体" w:eastAsia="黑体"/>
        </w:rPr>
      </w:pPr>
      <w:r>
        <w:rPr>
          <w:rFonts w:hint="eastAsia" w:ascii="黑体" w:hAnsi="黑体" w:eastAsia="黑体"/>
        </w:rPr>
        <w:t>Ⅳ</w:t>
      </w:r>
      <w:r>
        <w:rPr>
          <w:rFonts w:ascii="黑体" w:hAnsi="黑体" w:eastAsia="黑体"/>
        </w:rPr>
        <w:t>．考查内容</w:t>
      </w:r>
    </w:p>
    <w:p w14:paraId="6D7ED478">
      <w:pPr>
        <w:rPr>
          <w:rFonts w:ascii="黑体" w:hAnsi="黑体" w:eastAsia="黑体"/>
        </w:rPr>
      </w:pPr>
    </w:p>
    <w:p w14:paraId="0EB385A1">
      <w:pPr>
        <w:jc w:val="center"/>
        <w:rPr>
          <w:rFonts w:ascii="华文中宋" w:hAnsi="华文中宋" w:eastAsia="华文中宋"/>
          <w:b/>
        </w:rPr>
      </w:pPr>
      <w:r>
        <w:rPr>
          <w:rFonts w:hint="eastAsia"/>
          <w:b/>
        </w:rPr>
        <w:t>一、基础生态学</w:t>
      </w:r>
      <w:r>
        <w:rPr>
          <w:b/>
        </w:rPr>
        <w:t>原理</w:t>
      </w:r>
    </w:p>
    <w:p w14:paraId="44BA8CD4">
      <w:r>
        <w:rPr>
          <w:rFonts w:hint="eastAsia"/>
          <w:b/>
          <w:bCs/>
        </w:rPr>
        <w:t>1</w:t>
      </w:r>
      <w:r>
        <w:rPr>
          <w:color w:val="000000" w:themeColor="text1"/>
          <w14:textFill>
            <w14:solidFill>
              <w14:schemeClr w14:val="tx1"/>
            </w14:solidFill>
          </w14:textFill>
        </w:rPr>
        <w:t>．</w:t>
      </w:r>
      <w:r>
        <w:rPr>
          <w:rFonts w:hint="eastAsia"/>
          <w:b/>
          <w:bCs/>
        </w:rPr>
        <w:t>鱼类生态学绪论</w:t>
      </w:r>
      <w:r>
        <w:rPr>
          <w:rFonts w:hint="eastAsia"/>
        </w:rPr>
        <w:t xml:space="preserve">            </w:t>
      </w:r>
    </w:p>
    <w:p w14:paraId="795EB600">
      <w:pPr>
        <w:spacing w:line="440" w:lineRule="exact"/>
        <w:ind w:firstLine="420" w:firstLineChars="200"/>
        <w:rPr>
          <w:szCs w:val="22"/>
        </w:rPr>
      </w:pPr>
      <w:r>
        <w:rPr>
          <w:rFonts w:hint="eastAsia"/>
          <w:szCs w:val="22"/>
        </w:rPr>
        <w:t>鱼类生态学的定义、地位及发展简史; 其研究内容、特点、任务及性质；该学科研的方法论即层次观、整体观、系统观、综合观、进化观。未来渔业、环境的生态问题及发展方向和前景。</w:t>
      </w:r>
    </w:p>
    <w:p w14:paraId="5B29DC14">
      <w:pPr>
        <w:spacing w:line="440" w:lineRule="exact"/>
        <w:ind w:firstLine="420" w:firstLineChars="200"/>
        <w:rPr>
          <w:szCs w:val="22"/>
        </w:rPr>
      </w:pPr>
      <w:r>
        <w:rPr>
          <w:rFonts w:hint="eastAsia"/>
          <w:szCs w:val="22"/>
        </w:rPr>
        <w:t>鱼类及水域相关的生态问题如生物多样性减少、生物入侵（转基因问题）、污染加剧、水域环境生态破坏、生态修复及保护等生态问题，导致水产养殖生产力下降，生产成本巨增和效益巨减等产业相关的生态问题等；</w:t>
      </w:r>
    </w:p>
    <w:p w14:paraId="1C0F7D11">
      <w:pPr>
        <w:ind w:firstLine="420" w:firstLineChars="200"/>
      </w:pPr>
    </w:p>
    <w:p w14:paraId="7A8A414F">
      <w:r>
        <w:rPr>
          <w:rFonts w:hint="eastAsia" w:ascii="宋体" w:hAnsi="宋体"/>
          <w:b/>
          <w:bCs/>
          <w:szCs w:val="21"/>
        </w:rPr>
        <w:t>2</w:t>
      </w:r>
      <w:r>
        <w:rPr>
          <w:color w:val="000000" w:themeColor="text1"/>
          <w14:textFill>
            <w14:solidFill>
              <w14:schemeClr w14:val="tx1"/>
            </w14:solidFill>
          </w14:textFill>
        </w:rPr>
        <w:t>．</w:t>
      </w:r>
      <w:r>
        <w:rPr>
          <w:rFonts w:hint="eastAsia" w:ascii="宋体" w:hAnsi="宋体"/>
          <w:b/>
          <w:bCs/>
          <w:szCs w:val="21"/>
        </w:rPr>
        <w:t>生态因子的分类和基本作用规律</w:t>
      </w:r>
    </w:p>
    <w:p w14:paraId="73DF78ED">
      <w:pPr>
        <w:spacing w:line="440" w:lineRule="exact"/>
        <w:ind w:firstLine="420" w:firstLineChars="200"/>
        <w:rPr>
          <w:szCs w:val="22"/>
        </w:rPr>
      </w:pPr>
      <w:r>
        <w:rPr>
          <w:rFonts w:hint="eastAsia"/>
          <w:szCs w:val="22"/>
        </w:rPr>
        <w:t>水域环境及其类型，生态因子及其分类，生态因子作用的基本特征，阈与率，适应性和生态幅，限制因子定律，利比希最小因子定律，耐受性定律，生态因子的综合作用定律，生物的生物钟、休眠及对环境的适应方式等。</w:t>
      </w:r>
    </w:p>
    <w:p w14:paraId="7FD191CB">
      <w:pPr>
        <w:rPr>
          <w:b/>
          <w:bCs/>
        </w:rPr>
      </w:pPr>
    </w:p>
    <w:p w14:paraId="23B14A7E">
      <w:pPr>
        <w:numPr>
          <w:ilvl w:val="0"/>
          <w:numId w:val="1"/>
        </w:numPr>
      </w:pPr>
      <w:r>
        <w:rPr>
          <w:rFonts w:hint="eastAsia" w:ascii="宋体" w:hAnsi="宋体"/>
          <w:b/>
          <w:bCs/>
          <w:szCs w:val="21"/>
        </w:rPr>
        <w:t>生态因子的生态作用及其生物适应</w:t>
      </w:r>
      <w:r>
        <w:t>　</w:t>
      </w:r>
    </w:p>
    <w:p w14:paraId="6953AECD">
      <w:pPr>
        <w:spacing w:line="440" w:lineRule="exact"/>
        <w:ind w:firstLine="420" w:firstLineChars="200"/>
        <w:rPr>
          <w:szCs w:val="22"/>
        </w:rPr>
      </w:pPr>
      <w:r>
        <w:rPr>
          <w:rFonts w:hint="eastAsia"/>
          <w:szCs w:val="22"/>
        </w:rPr>
        <w:t>光的生态作用即光强、光质、光周期的生态作用及生物对光强和光质的适应;光补偿点、生物的光周期和趋光性、生物昼夜垂直移动;</w:t>
      </w:r>
    </w:p>
    <w:p w14:paraId="7735F219">
      <w:pPr>
        <w:spacing w:line="440" w:lineRule="exact"/>
        <w:ind w:firstLine="420" w:firstLineChars="200"/>
        <w:rPr>
          <w:szCs w:val="22"/>
        </w:rPr>
      </w:pPr>
      <w:r>
        <w:rPr>
          <w:rFonts w:hint="eastAsia"/>
          <w:szCs w:val="22"/>
        </w:rPr>
        <w:t>温度的生态作用即温度变化的规律;“三基点”;生物学零度、有效积温法则及其应用、变温与温周期现象；低温对生物的伤害可分为冷害、冻害和霜害三种，生物对低温的适应（形态、生理、行为适应）、阿伦规律、贝格曼规律、约丹定律;生物对高温的适应（形态、生理、行为适应）。</w:t>
      </w:r>
    </w:p>
    <w:p w14:paraId="1E3B2987">
      <w:pPr>
        <w:ind w:left="420"/>
      </w:pPr>
    </w:p>
    <w:p w14:paraId="1E7995EE">
      <w:pPr>
        <w:jc w:val="center"/>
        <w:rPr>
          <w:rFonts w:ascii="华文中宋" w:hAnsi="华文中宋" w:eastAsia="华文中宋"/>
          <w:b/>
        </w:rPr>
      </w:pPr>
      <w:r>
        <w:rPr>
          <w:rFonts w:hint="eastAsia"/>
          <w:b/>
        </w:rPr>
        <w:t>二、鱼类个体生态学</w:t>
      </w:r>
    </w:p>
    <w:p w14:paraId="7F71CF14">
      <w:r>
        <w:rPr>
          <w:rFonts w:hint="eastAsia"/>
        </w:rPr>
        <w:t>1</w:t>
      </w:r>
      <w:r>
        <w:rPr>
          <w:color w:val="000000" w:themeColor="text1"/>
          <w14:textFill>
            <w14:solidFill>
              <w14:schemeClr w14:val="tx1"/>
            </w14:solidFill>
          </w14:textFill>
        </w:rPr>
        <w:t>．</w:t>
      </w:r>
      <w:r>
        <w:rPr>
          <w:rFonts w:hint="eastAsia"/>
        </w:rPr>
        <w:t>鱼类年龄</w:t>
      </w:r>
    </w:p>
    <w:p w14:paraId="7BFA8A49">
      <w:pPr>
        <w:spacing w:line="440" w:lineRule="exact"/>
        <w:ind w:firstLine="420" w:firstLineChars="200"/>
        <w:rPr>
          <w:szCs w:val="22"/>
        </w:rPr>
      </w:pPr>
      <w:r>
        <w:rPr>
          <w:rFonts w:hint="eastAsia"/>
          <w:szCs w:val="22"/>
        </w:rPr>
        <w:t>鱼类年龄和生长的意义，鱼类生活史、发育期和寿命及其影响因素；年轮形成的基本原理，年轮形成周期和形成时间，年轮的类型及其鉴别和标志；鉴定和分析鱼类年龄的材料与方法；</w:t>
      </w:r>
    </w:p>
    <w:p w14:paraId="3AD9C93F">
      <w:pPr>
        <w:spacing w:line="440" w:lineRule="exact"/>
        <w:ind w:firstLine="420" w:firstLineChars="200"/>
        <w:rPr>
          <w:szCs w:val="22"/>
        </w:rPr>
      </w:pPr>
      <w:r>
        <w:rPr>
          <w:szCs w:val="22"/>
        </w:rPr>
        <w:t>年轮数目</w:t>
      </w:r>
      <w:r>
        <w:rPr>
          <w:rFonts w:hint="eastAsia"/>
          <w:szCs w:val="22"/>
        </w:rPr>
        <w:t>、年龄的计算、年龄组；依据渔获物长度组成分析鱼类年龄组成通常有长度频率法和长度换算法；渔获物年龄结构分析及其意义；种群年龄结构、年龄金字塔；</w:t>
      </w:r>
    </w:p>
    <w:p w14:paraId="2A1A3C9E">
      <w:pPr>
        <w:spacing w:line="440" w:lineRule="exact"/>
        <w:rPr>
          <w:szCs w:val="22"/>
        </w:rPr>
      </w:pPr>
      <w:r>
        <w:rPr>
          <w:rFonts w:hint="eastAsia"/>
          <w:szCs w:val="22"/>
        </w:rPr>
        <w:t>2</w:t>
      </w:r>
      <w:r>
        <w:rPr>
          <w:szCs w:val="22"/>
        </w:rPr>
        <w:t>．</w:t>
      </w:r>
      <w:r>
        <w:rPr>
          <w:rFonts w:hint="eastAsia"/>
          <w:szCs w:val="22"/>
        </w:rPr>
        <w:t>生  长</w:t>
      </w:r>
    </w:p>
    <w:p w14:paraId="468116B8">
      <w:pPr>
        <w:spacing w:line="440" w:lineRule="exact"/>
        <w:ind w:firstLine="420" w:firstLineChars="200"/>
        <w:rPr>
          <w:szCs w:val="22"/>
        </w:rPr>
      </w:pPr>
      <w:r>
        <w:rPr>
          <w:rFonts w:hint="eastAsia"/>
          <w:szCs w:val="22"/>
        </w:rPr>
        <w:t>鱼类生长的基本概念和式型；影响鱼类生长的因子；生长的一般测定方法： 直接法测定生长率（体长或体重增长的百分数）如饲养法、野外采集法、标志放流法，间接法如年龄鉴定统计法、退算法；Lee氏现象；</w:t>
      </w:r>
    </w:p>
    <w:p w14:paraId="06027FAE">
      <w:pPr>
        <w:spacing w:line="440" w:lineRule="exact"/>
        <w:ind w:firstLine="420" w:firstLineChars="200"/>
        <w:rPr>
          <w:szCs w:val="22"/>
        </w:rPr>
      </w:pPr>
      <w:r>
        <w:rPr>
          <w:rFonts w:hint="eastAsia"/>
          <w:szCs w:val="22"/>
        </w:rPr>
        <w:t>研究鱼类生长的方法及指标，如体长与体重的关系（体长-体重、丰满度、含脂量）、生长率（绝对、相对和瞬时生长率）、生长比速、常数和指标、生长方程及其类型，生长方程建立与参数推导。</w:t>
      </w:r>
    </w:p>
    <w:p w14:paraId="5DB31C36">
      <w:pPr>
        <w:spacing w:line="440" w:lineRule="exact"/>
        <w:rPr>
          <w:szCs w:val="22"/>
        </w:rPr>
      </w:pPr>
      <w:r>
        <w:rPr>
          <w:rFonts w:hint="eastAsia"/>
          <w:szCs w:val="22"/>
        </w:rPr>
        <w:t>3．摄 食</w:t>
      </w:r>
    </w:p>
    <w:p w14:paraId="716D9872">
      <w:pPr>
        <w:spacing w:line="440" w:lineRule="exact"/>
        <w:ind w:firstLine="420" w:firstLineChars="200"/>
        <w:rPr>
          <w:szCs w:val="22"/>
        </w:rPr>
      </w:pPr>
      <w:r>
        <w:rPr>
          <w:rFonts w:hint="eastAsia"/>
          <w:szCs w:val="22"/>
        </w:rPr>
        <w:t>饵料成分的定性和定量分析；食谱；食性类型；食性研究；食物组成、形态结构的适应性；鱼类食物、食性变动规律。</w:t>
      </w:r>
    </w:p>
    <w:p w14:paraId="56112BFE">
      <w:pPr>
        <w:spacing w:line="440" w:lineRule="exact"/>
        <w:ind w:firstLine="420" w:firstLineChars="200"/>
        <w:rPr>
          <w:szCs w:val="22"/>
        </w:rPr>
      </w:pPr>
      <w:r>
        <w:rPr>
          <w:rFonts w:hint="eastAsia"/>
          <w:szCs w:val="22"/>
        </w:rPr>
        <w:t>食物选择性：选择性指标、影响选择性的因子、最适索饵理论。</w:t>
      </w:r>
    </w:p>
    <w:p w14:paraId="36FE1A52">
      <w:pPr>
        <w:spacing w:line="440" w:lineRule="exact"/>
        <w:ind w:firstLine="420" w:firstLineChars="200"/>
        <w:rPr>
          <w:szCs w:val="22"/>
        </w:rPr>
      </w:pPr>
      <w:r>
        <w:rPr>
          <w:rFonts w:hint="eastAsia"/>
          <w:szCs w:val="22"/>
        </w:rPr>
        <w:t>摄食量和消化率：影响鱼类摄食量因素、充塞度与指数、摄食日节律；消化速率及其影响消化率的因子；食物能量分配流程即能量流动公式；</w:t>
      </w:r>
    </w:p>
    <w:p w14:paraId="05274A22">
      <w:pPr>
        <w:spacing w:line="440" w:lineRule="exact"/>
        <w:rPr>
          <w:szCs w:val="22"/>
        </w:rPr>
      </w:pPr>
      <w:r>
        <w:rPr>
          <w:rFonts w:hint="eastAsia"/>
          <w:color w:val="000000" w:themeColor="text1"/>
          <w14:textFill>
            <w14:solidFill>
              <w14:schemeClr w14:val="tx1"/>
            </w14:solidFill>
          </w14:textFill>
        </w:rPr>
        <w:t>4</w:t>
      </w:r>
      <w:r>
        <w:rPr>
          <w:color w:val="000000" w:themeColor="text1"/>
          <w14:textFill>
            <w14:solidFill>
              <w14:schemeClr w14:val="tx1"/>
            </w14:solidFill>
          </w14:textFill>
        </w:rPr>
        <w:t>．</w:t>
      </w:r>
      <w:r>
        <w:rPr>
          <w:rFonts w:hint="eastAsia"/>
          <w:szCs w:val="22"/>
        </w:rPr>
        <w:t>鱼类对溶氧的要求与适应</w:t>
      </w:r>
    </w:p>
    <w:p w14:paraId="594EC49D">
      <w:pPr>
        <w:spacing w:line="440" w:lineRule="exact"/>
        <w:rPr>
          <w:szCs w:val="22"/>
        </w:rPr>
      </w:pPr>
      <w:r>
        <w:rPr>
          <w:rFonts w:hint="eastAsia"/>
          <w:szCs w:val="22"/>
        </w:rPr>
        <w:t xml:space="preserve">   鱼类辅助呼吸器官的类型；水体溶氧和二氧化碳的变化特点；鱼类对溶氧的要求与适应，氧离曲线及影响氧离曲线的因素；</w:t>
      </w:r>
    </w:p>
    <w:p w14:paraId="488A433B">
      <w:pPr>
        <w:spacing w:line="440" w:lineRule="exact"/>
        <w:rPr>
          <w:szCs w:val="22"/>
        </w:rPr>
      </w:pPr>
      <w:r>
        <w:rPr>
          <w:rFonts w:hint="eastAsia"/>
          <w:szCs w:val="22"/>
        </w:rPr>
        <w:t>5．繁殖与早期发育</w:t>
      </w:r>
    </w:p>
    <w:p w14:paraId="446FAE2C">
      <w:pPr>
        <w:spacing w:line="440" w:lineRule="exact"/>
        <w:ind w:firstLine="420" w:firstLineChars="200"/>
        <w:rPr>
          <w:szCs w:val="22"/>
        </w:rPr>
      </w:pPr>
      <w:r>
        <w:rPr>
          <w:rFonts w:hint="eastAsia"/>
          <w:szCs w:val="22"/>
        </w:rPr>
        <w:t>鱼类繁殖的概念、特点与两性系统，繁殖策略、繁殖技术、性逆转、雌雄同体、全雌种群、性别控制；性腺及其发育；性周期及其延续的时间；繁殖习性：繁殖时间和场所、繁殖季节、产卵时间、产卵场与产卵条件、产卵类型；繁殖方式、行为与筑巢；生殖鱼群与繁殖力：性成熟年龄、产卵群体及类型；性比、繁殖力及繁殖力变异的规律与适应意义；</w:t>
      </w:r>
    </w:p>
    <w:p w14:paraId="4A36044E">
      <w:pPr>
        <w:numPr>
          <w:ilvl w:val="0"/>
          <w:numId w:val="2"/>
        </w:numPr>
        <w:spacing w:line="44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早期发育</w:t>
      </w:r>
    </w:p>
    <w:p w14:paraId="3CC6307B">
      <w:pPr>
        <w:spacing w:line="440" w:lineRule="exact"/>
        <w:ind w:firstLine="210" w:firstLineChars="100"/>
        <w:rPr>
          <w:szCs w:val="22"/>
        </w:rPr>
      </w:pPr>
      <w:r>
        <w:rPr>
          <w:rFonts w:hint="eastAsia"/>
          <w:szCs w:val="22"/>
        </w:rPr>
        <w:t>鱼类早起生活史：卵的质量、受精和发育、卵的成分和活性、种内卵大小及其影响因素、影响胚胎发育进程的因素与发育时序和积温相关；仔鱼的生活方式、摄食和生长；影响仔鱼存活的生态学因子；饥饿和不可逆点；临界期；控制临界期表露的主要因子；潜在的临界期；</w:t>
      </w:r>
    </w:p>
    <w:p w14:paraId="22BE1200">
      <w:pPr>
        <w:spacing w:line="440" w:lineRule="exact"/>
        <w:rPr>
          <w:color w:val="000000" w:themeColor="text1"/>
          <w:szCs w:val="22"/>
          <w14:textFill>
            <w14:solidFill>
              <w14:schemeClr w14:val="tx1"/>
            </w14:solidFill>
          </w14:textFill>
        </w:rPr>
      </w:pPr>
      <w:r>
        <w:rPr>
          <w:rFonts w:hint="eastAsia"/>
          <w:color w:val="000000" w:themeColor="text1"/>
          <w:szCs w:val="22"/>
          <w14:textFill>
            <w14:solidFill>
              <w14:schemeClr w14:val="tx1"/>
            </w14:solidFill>
          </w14:textFill>
        </w:rPr>
        <w:t>7．感觉、行为、分布与洄游</w:t>
      </w:r>
    </w:p>
    <w:p w14:paraId="51D63BCA">
      <w:pPr>
        <w:spacing w:line="440" w:lineRule="exact"/>
        <w:ind w:firstLine="420" w:firstLineChars="200"/>
        <w:rPr>
          <w:szCs w:val="22"/>
        </w:rPr>
      </w:pPr>
      <w:r>
        <w:rPr>
          <w:rFonts w:hint="eastAsia"/>
          <w:szCs w:val="22"/>
        </w:rPr>
        <w:t>鱼类的感觉；感觉类型、边界和功能、信息传递；</w:t>
      </w:r>
    </w:p>
    <w:p w14:paraId="44227491">
      <w:pPr>
        <w:spacing w:line="440" w:lineRule="exact"/>
        <w:ind w:firstLine="420" w:firstLineChars="200"/>
        <w:rPr>
          <w:szCs w:val="22"/>
        </w:rPr>
      </w:pPr>
      <w:r>
        <w:rPr>
          <w:rFonts w:hint="eastAsia"/>
          <w:szCs w:val="22"/>
        </w:rPr>
        <w:t>鱼类行为：鱼类对光、声、电行的行为反应及利用鱼类对光、声、电的不同反应进行辅助捕捞的方法即光渔法、声渔法、电渔法；</w:t>
      </w:r>
    </w:p>
    <w:p w14:paraId="3A11BE33">
      <w:pPr>
        <w:spacing w:line="440" w:lineRule="exact"/>
        <w:ind w:firstLine="420" w:firstLineChars="200"/>
        <w:rPr>
          <w:szCs w:val="22"/>
        </w:rPr>
      </w:pPr>
      <w:r>
        <w:rPr>
          <w:rFonts w:hint="eastAsia"/>
          <w:szCs w:val="22"/>
        </w:rPr>
        <w:t>鱼类分布：世界淡水鱼类区划；三界六区，大陆漂移说、陆桥说；</w:t>
      </w:r>
    </w:p>
    <w:p w14:paraId="6F53BBAF">
      <w:pPr>
        <w:spacing w:line="440" w:lineRule="exact"/>
        <w:ind w:firstLine="420" w:firstLineChars="200"/>
        <w:rPr>
          <w:szCs w:val="22"/>
        </w:rPr>
      </w:pPr>
      <w:r>
        <w:rPr>
          <w:rFonts w:hint="eastAsia"/>
          <w:szCs w:val="22"/>
        </w:rPr>
        <w:t>洄游：洄游的类型（典型代表）、洄游的原因和影响鱼类洄游的各种因素、定向机制；</w:t>
      </w:r>
    </w:p>
    <w:p w14:paraId="3DC9DB57">
      <w:pPr>
        <w:spacing w:line="440" w:lineRule="exact"/>
        <w:ind w:firstLine="420" w:firstLineChars="200"/>
        <w:rPr>
          <w:szCs w:val="22"/>
        </w:rPr>
      </w:pPr>
      <w:r>
        <w:rPr>
          <w:rFonts w:hint="eastAsia"/>
          <w:szCs w:val="22"/>
        </w:rPr>
        <w:t>洄游的研究方法：切断标志法、外部标记、内部标记、电子标记；</w:t>
      </w:r>
    </w:p>
    <w:p w14:paraId="413187F7">
      <w:pPr>
        <w:spacing w:line="440" w:lineRule="exact"/>
        <w:rPr>
          <w:szCs w:val="22"/>
        </w:rPr>
      </w:pPr>
    </w:p>
    <w:p w14:paraId="1AEE182B">
      <w:pPr>
        <w:jc w:val="center"/>
        <w:rPr>
          <w:rFonts w:ascii="华文中宋" w:hAnsi="华文中宋" w:eastAsia="华文中宋"/>
          <w:b/>
          <w:bCs/>
        </w:rPr>
      </w:pPr>
      <w:r>
        <w:rPr>
          <w:rFonts w:hint="eastAsia" w:ascii="华文中宋" w:hAnsi="华文中宋" w:eastAsia="华文中宋"/>
          <w:b/>
        </w:rPr>
        <w:t>三</w:t>
      </w:r>
      <w:r>
        <w:rPr>
          <w:rFonts w:ascii="华文中宋" w:hAnsi="华文中宋" w:eastAsia="华文中宋"/>
          <w:b/>
        </w:rPr>
        <w:t>、</w:t>
      </w:r>
      <w:r>
        <w:rPr>
          <w:rFonts w:hint="eastAsia"/>
          <w:b/>
          <w:bCs/>
        </w:rPr>
        <w:t>鱼类生态学之种群、群落与生态系统</w:t>
      </w:r>
    </w:p>
    <w:p w14:paraId="2B333929">
      <w:pPr>
        <w:jc w:val="center"/>
        <w:rPr>
          <w:rFonts w:ascii="华文中宋" w:hAnsi="华文中宋" w:eastAsia="华文中宋"/>
          <w:b/>
        </w:rPr>
      </w:pPr>
    </w:p>
    <w:p w14:paraId="78C33BF4">
      <w:r>
        <w:t>　　</w:t>
      </w:r>
    </w:p>
    <w:p w14:paraId="2D987C30">
      <w:pPr>
        <w:spacing w:line="440" w:lineRule="exact"/>
        <w:ind w:firstLine="210" w:firstLineChars="100"/>
        <w:rPr>
          <w:szCs w:val="22"/>
        </w:rPr>
      </w:pPr>
      <w:r>
        <w:rPr>
          <w:rFonts w:hint="eastAsia"/>
          <w:szCs w:val="22"/>
        </w:rPr>
        <w:t>1、种群生态学</w:t>
      </w:r>
    </w:p>
    <w:p w14:paraId="0D27F47D">
      <w:pPr>
        <w:spacing w:line="440" w:lineRule="exact"/>
        <w:rPr>
          <w:szCs w:val="22"/>
        </w:rPr>
      </w:pPr>
      <w:r>
        <w:rPr>
          <w:rFonts w:hint="eastAsia"/>
          <w:szCs w:val="22"/>
        </w:rPr>
        <w:t xml:space="preserve">    种群概念、种群动态；种群的基本特征、鱼类种群的特征鉴定方法；种群参数即种群密度、出生率和死亡率、迁移、性比、年龄结构和种群增长率、分布型等；</w:t>
      </w:r>
    </w:p>
    <w:p w14:paraId="70A9BF57">
      <w:pPr>
        <w:spacing w:line="440" w:lineRule="exact"/>
        <w:ind w:firstLine="420" w:firstLineChars="200"/>
        <w:rPr>
          <w:szCs w:val="22"/>
        </w:rPr>
      </w:pPr>
      <w:r>
        <w:rPr>
          <w:rFonts w:hint="eastAsia"/>
          <w:szCs w:val="22"/>
        </w:rPr>
        <w:t>种群的数量动态及调节：种群增长模型即指数增长模型和逻辑斯谛增长模型两种类型。</w:t>
      </w:r>
    </w:p>
    <w:p w14:paraId="5B41E678">
      <w:pPr>
        <w:spacing w:line="440" w:lineRule="exact"/>
        <w:ind w:firstLine="420" w:firstLineChars="200"/>
        <w:rPr>
          <w:szCs w:val="22"/>
        </w:rPr>
      </w:pPr>
      <w:r>
        <w:rPr>
          <w:rFonts w:hint="eastAsia"/>
          <w:szCs w:val="22"/>
        </w:rPr>
        <w:t>自然种群的数量变动：种群增长、季节消长、不规则的或规则的（即周期性的）波动、种群暴发或大发生、种群平衡、种群的衰落和灭亡；生态入侵；</w:t>
      </w:r>
    </w:p>
    <w:p w14:paraId="19369D4E">
      <w:pPr>
        <w:spacing w:line="440" w:lineRule="exact"/>
        <w:rPr>
          <w:szCs w:val="22"/>
        </w:rPr>
      </w:pPr>
      <w:r>
        <w:rPr>
          <w:rFonts w:hint="eastAsia"/>
          <w:szCs w:val="22"/>
        </w:rPr>
        <w:t>种群的种内和种间关系：种内关系：密度效应（竞争）、性别生态学、求偶行为的复杂性、领域性和社会等级、利他行为、合作行为。种间关系：种间竞争；生态位--生态位和竞争排斥原理；捕食作用；寄生；共生；</w:t>
      </w:r>
    </w:p>
    <w:p w14:paraId="4AEFAFC9">
      <w:pPr>
        <w:spacing w:line="440" w:lineRule="exact"/>
        <w:ind w:firstLine="420" w:firstLineChars="200"/>
        <w:rPr>
          <w:szCs w:val="22"/>
        </w:rPr>
      </w:pPr>
      <w:r>
        <w:rPr>
          <w:rFonts w:hint="eastAsia"/>
          <w:szCs w:val="22"/>
        </w:rPr>
        <w:t>种群的生产和管理：种群组成、生物量和生产量；</w:t>
      </w:r>
    </w:p>
    <w:p w14:paraId="3287A996">
      <w:pPr>
        <w:spacing w:line="440" w:lineRule="exact"/>
        <w:ind w:firstLine="420" w:firstLineChars="200"/>
        <w:rPr>
          <w:szCs w:val="22"/>
        </w:rPr>
      </w:pPr>
      <w:r>
        <w:rPr>
          <w:rFonts w:hint="eastAsia"/>
          <w:szCs w:val="22"/>
        </w:rPr>
        <w:t>种群管理模式：剩余渔产量模式、动态综合模式、生物经济模式；</w:t>
      </w:r>
    </w:p>
    <w:p w14:paraId="617EDC21">
      <w:pPr>
        <w:spacing w:line="440" w:lineRule="exact"/>
        <w:ind w:firstLine="420" w:firstLineChars="200"/>
        <w:rPr>
          <w:szCs w:val="22"/>
        </w:rPr>
      </w:pPr>
      <w:r>
        <w:rPr>
          <w:rFonts w:hint="eastAsia"/>
          <w:szCs w:val="22"/>
        </w:rPr>
        <w:t>种群遗传学：生物种，自然选择类型（稳定选择、定向选择、分裂选择）；物种形成过程（地理隔离、独立进化、生殖隔离机制建立）、物种形成方式：地理物种形成（异域性物种形成、领域性物种形成、同域性物种形成）、量子式物种形成；</w:t>
      </w:r>
    </w:p>
    <w:p w14:paraId="575BF7BD">
      <w:pPr>
        <w:spacing w:line="440" w:lineRule="exact"/>
        <w:ind w:firstLine="420" w:firstLineChars="200"/>
        <w:rPr>
          <w:szCs w:val="22"/>
        </w:rPr>
      </w:pPr>
      <w:r>
        <w:rPr>
          <w:rFonts w:hint="eastAsia"/>
          <w:szCs w:val="22"/>
        </w:rPr>
        <w:t>种群生活史策略：生态对策（生活史对策）：能量分配和权衡策略、形态对策之体型效应、生殖对策（r-对策、K-对策）、滞育和休眠、迁移、复杂的生活周期；生殖价；</w:t>
      </w:r>
    </w:p>
    <w:p w14:paraId="5D25EC76">
      <w:pPr>
        <w:spacing w:line="440" w:lineRule="exact"/>
        <w:rPr>
          <w:szCs w:val="22"/>
        </w:rPr>
      </w:pPr>
      <w:r>
        <w:rPr>
          <w:rFonts w:hint="eastAsia"/>
          <w:szCs w:val="22"/>
        </w:rPr>
        <w:t>2、群落生态学</w:t>
      </w:r>
    </w:p>
    <w:p w14:paraId="3DB5BD7C">
      <w:pPr>
        <w:spacing w:line="440" w:lineRule="exact"/>
        <w:rPr>
          <w:szCs w:val="22"/>
        </w:rPr>
      </w:pPr>
      <w:r>
        <w:rPr>
          <w:rFonts w:hint="eastAsia"/>
          <w:szCs w:val="22"/>
        </w:rPr>
        <w:t>概念：群落的概念、群落基本特征、群落的命名；</w:t>
      </w:r>
    </w:p>
    <w:p w14:paraId="1FC90838">
      <w:pPr>
        <w:spacing w:line="440" w:lineRule="exact"/>
        <w:ind w:firstLine="210" w:firstLineChars="100"/>
        <w:rPr>
          <w:szCs w:val="22"/>
        </w:rPr>
      </w:pPr>
      <w:r>
        <w:rPr>
          <w:rFonts w:hint="eastAsia"/>
          <w:szCs w:val="22"/>
        </w:rPr>
        <w:t>群落种类的组成；性质分析（最小面积）和数量特征（个体数量指标、综合数量指标、种的多样性）；种的多样性（多样性类型、多样性梯度、多样性的测度）；生物多样性与群落稳定性；生物多样性及其价值（直接与间接）；</w:t>
      </w:r>
    </w:p>
    <w:p w14:paraId="0CF78605">
      <w:pPr>
        <w:spacing w:line="440" w:lineRule="exact"/>
        <w:rPr>
          <w:szCs w:val="22"/>
        </w:rPr>
      </w:pPr>
      <w:r>
        <w:rPr>
          <w:rFonts w:hint="eastAsia"/>
          <w:szCs w:val="22"/>
        </w:rPr>
        <w:t>群落的结构；群落组织—影响群落结构的因素（生物因素（竞争、捕食）、干扰、空间异质性、岛屿化）；</w:t>
      </w:r>
    </w:p>
    <w:p w14:paraId="47B9C5AE">
      <w:pPr>
        <w:spacing w:line="440" w:lineRule="exact"/>
        <w:rPr>
          <w:szCs w:val="22"/>
        </w:rPr>
      </w:pPr>
      <w:r>
        <w:rPr>
          <w:rFonts w:hint="eastAsia"/>
          <w:szCs w:val="22"/>
        </w:rPr>
        <w:t>生物群落的演替：群落演替的类型及典型实例（旱生演替、水生植物演替、弃耕农田上的演替），初生演替、次生演替；演替理论及其影响因素；</w:t>
      </w:r>
    </w:p>
    <w:p w14:paraId="28DF9D6C">
      <w:pPr>
        <w:spacing w:line="440" w:lineRule="exact"/>
        <w:rPr>
          <w:szCs w:val="22"/>
        </w:rPr>
      </w:pPr>
      <w:r>
        <w:rPr>
          <w:rFonts w:hint="eastAsia"/>
          <w:szCs w:val="22"/>
        </w:rPr>
        <w:t>3、生态系统生态学</w:t>
      </w:r>
    </w:p>
    <w:p w14:paraId="6DD0325F">
      <w:pPr>
        <w:spacing w:line="440" w:lineRule="exact"/>
        <w:ind w:firstLine="420" w:firstLineChars="200"/>
        <w:rPr>
          <w:szCs w:val="22"/>
        </w:rPr>
      </w:pPr>
      <w:r>
        <w:rPr>
          <w:rFonts w:hint="eastAsia"/>
          <w:szCs w:val="22"/>
        </w:rPr>
        <w:t>生态系统的概念及类型；生态系统组分；生态系统结构即空间结构、时间结构、营养结构（生物结构）、食物链、食物网；五种类型食物链：捕食食物链、碎食食物链、寄生性食物链、腐生性食物链、混合食物链。营养级和生态金字塔（数量、生物量和能量金字塔）；</w:t>
      </w:r>
    </w:p>
    <w:p w14:paraId="262F4A54">
      <w:pPr>
        <w:spacing w:line="440" w:lineRule="exact"/>
        <w:ind w:firstLine="210" w:firstLineChars="100"/>
        <w:rPr>
          <w:szCs w:val="22"/>
        </w:rPr>
      </w:pPr>
      <w:r>
        <w:rPr>
          <w:rFonts w:hint="eastAsia"/>
          <w:szCs w:val="22"/>
        </w:rPr>
        <w:t>生态系统物质循环：物质循环的基本原理──物质不灭定律和质能守恒定律、生物积累、生物浓缩、生物放大。“渔业碳汇”、渔业低碳技术；能量流动与物质循环的关系；</w:t>
      </w:r>
    </w:p>
    <w:p w14:paraId="41E3B9EA">
      <w:pPr>
        <w:spacing w:line="440" w:lineRule="exact"/>
        <w:ind w:firstLine="210" w:firstLineChars="100"/>
        <w:rPr>
          <w:szCs w:val="22"/>
        </w:rPr>
      </w:pPr>
      <w:r>
        <w:rPr>
          <w:rFonts w:hint="eastAsia"/>
          <w:szCs w:val="22"/>
        </w:rPr>
        <w:t>生态系统的信息传递:物理信息、化学信息、营养信息和行为信息。</w:t>
      </w:r>
    </w:p>
    <w:p w14:paraId="1CDBDDBE">
      <w:pPr>
        <w:spacing w:line="440" w:lineRule="exact"/>
        <w:ind w:firstLine="210" w:firstLineChars="100"/>
        <w:rPr>
          <w:szCs w:val="22"/>
        </w:rPr>
      </w:pPr>
      <w:r>
        <w:rPr>
          <w:rFonts w:hint="eastAsia"/>
          <w:szCs w:val="22"/>
        </w:rPr>
        <w:t>生态系统的基本功能即能量流动、物质循环、信息传递；生态系统服务功能（供给服务、调节服务、支持服务、文化服务）；生态系统服务的功能价值的特征、分类及其评估；</w:t>
      </w:r>
    </w:p>
    <w:p w14:paraId="7083E9E9">
      <w:pPr>
        <w:spacing w:line="440" w:lineRule="exact"/>
        <w:rPr>
          <w:szCs w:val="22"/>
        </w:rPr>
      </w:pPr>
      <w:r>
        <w:rPr>
          <w:rFonts w:hint="eastAsia"/>
          <w:szCs w:val="22"/>
        </w:rPr>
        <w:t>4、生态系统平衡及调节</w:t>
      </w:r>
    </w:p>
    <w:p w14:paraId="68223CCE">
      <w:pPr>
        <w:spacing w:line="440" w:lineRule="exact"/>
        <w:ind w:firstLine="420" w:firstLineChars="200"/>
        <w:rPr>
          <w:szCs w:val="22"/>
        </w:rPr>
      </w:pPr>
      <w:r>
        <w:rPr>
          <w:rFonts w:hint="eastAsia"/>
          <w:szCs w:val="22"/>
        </w:rPr>
        <w:t>生态阈值、生态容量；生态系统主要靠反馈调控、多元重复补偿机制保持系统稳态；自然系统稳态机制，生态系统的各个水平都有稳态机制。</w:t>
      </w:r>
    </w:p>
    <w:p w14:paraId="59F11446">
      <w:pPr>
        <w:spacing w:line="440" w:lineRule="exact"/>
        <w:ind w:firstLine="420" w:firstLineChars="200"/>
        <w:rPr>
          <w:szCs w:val="22"/>
        </w:rPr>
      </w:pPr>
      <w:r>
        <w:rPr>
          <w:rFonts w:hint="eastAsia"/>
          <w:szCs w:val="22"/>
        </w:rPr>
        <w:t>生态系统平衡的标志、生态平衡失调的标志、生态平衡失调的原因、水域生态系统的调控机制。</w:t>
      </w:r>
    </w:p>
    <w:p w14:paraId="5F2F2331"/>
    <w:p w14:paraId="697BEBEE">
      <w:r>
        <w:t>　</w:t>
      </w:r>
    </w:p>
    <w:p w14:paraId="129ED8B9">
      <w:pPr>
        <w:jc w:val="center"/>
        <w:rPr>
          <w:rFonts w:ascii="华文中宋" w:hAnsi="华文中宋" w:eastAsia="华文中宋"/>
          <w:b/>
        </w:rPr>
      </w:pPr>
      <w:r>
        <w:rPr>
          <w:rFonts w:hint="eastAsia" w:ascii="华文中宋" w:hAnsi="华文中宋" w:eastAsia="华文中宋"/>
          <w:b/>
        </w:rPr>
        <w:t>四</w:t>
      </w:r>
      <w:r>
        <w:rPr>
          <w:rFonts w:ascii="华文中宋" w:hAnsi="华文中宋" w:eastAsia="华文中宋"/>
          <w:b/>
        </w:rPr>
        <w:t>、</w:t>
      </w:r>
      <w:r>
        <w:rPr>
          <w:rFonts w:hint="eastAsia"/>
          <w:b/>
        </w:rPr>
        <w:t>养殖水域生态系统应用与环境修复</w:t>
      </w:r>
    </w:p>
    <w:p w14:paraId="13F90704">
      <w:pPr>
        <w:rPr>
          <w:rFonts w:ascii="华文中宋" w:hAnsi="华文中宋" w:eastAsia="华文中宋"/>
          <w:b/>
        </w:rPr>
      </w:pPr>
    </w:p>
    <w:p w14:paraId="38D53628">
      <w:r>
        <w:t>　　</w:t>
      </w:r>
      <w:r>
        <w:rPr>
          <w:rFonts w:hint="eastAsia"/>
        </w:rPr>
        <w:t>1</w:t>
      </w:r>
      <w:r>
        <w:rPr>
          <w:color w:val="000000" w:themeColor="text1"/>
          <w14:textFill>
            <w14:solidFill>
              <w14:schemeClr w14:val="tx1"/>
            </w14:solidFill>
          </w14:textFill>
        </w:rPr>
        <w:t>．</w:t>
      </w:r>
      <w:r>
        <w:rPr>
          <w:rFonts w:hint="eastAsia"/>
        </w:rPr>
        <w:t>.</w:t>
      </w:r>
      <w:r>
        <w:rPr>
          <w:rFonts w:hint="eastAsia"/>
          <w:b/>
        </w:rPr>
        <w:t>生态系统应用</w:t>
      </w:r>
    </w:p>
    <w:p w14:paraId="36B6AB86">
      <w:pPr>
        <w:spacing w:line="440" w:lineRule="exact"/>
        <w:ind w:firstLine="840" w:firstLineChars="400"/>
        <w:rPr>
          <w:szCs w:val="22"/>
        </w:rPr>
      </w:pPr>
      <w:r>
        <w:rPr>
          <w:rFonts w:hint="eastAsia"/>
          <w:szCs w:val="22"/>
        </w:rPr>
        <w:t>水产养殖模式;水产养殖领域生态现象如生物入侵、稻渔综合种养、设施渔业等现象和模式中的生态系统原理的应用、技术应用;</w:t>
      </w:r>
    </w:p>
    <w:p w14:paraId="45C6ABE7">
      <w:pPr>
        <w:spacing w:line="440" w:lineRule="exact"/>
        <w:ind w:firstLine="420" w:firstLineChars="200"/>
        <w:rPr>
          <w:szCs w:val="22"/>
        </w:rPr>
      </w:pPr>
      <w:r>
        <w:rPr>
          <w:rFonts w:hint="eastAsia"/>
          <w:szCs w:val="22"/>
        </w:rPr>
        <w:t>2</w:t>
      </w:r>
      <w:r>
        <w:rPr>
          <w:color w:val="000000" w:themeColor="text1"/>
          <w14:textFill>
            <w14:solidFill>
              <w14:schemeClr w14:val="tx1"/>
            </w14:solidFill>
          </w14:textFill>
        </w:rPr>
        <w:t>．</w:t>
      </w:r>
      <w:r>
        <w:rPr>
          <w:rFonts w:hint="eastAsia"/>
          <w:szCs w:val="22"/>
        </w:rPr>
        <w:t>鱼类生态系统优化及其研究方法；</w:t>
      </w:r>
    </w:p>
    <w:p w14:paraId="77FDD95D">
      <w:pPr>
        <w:spacing w:line="440" w:lineRule="exact"/>
        <w:ind w:left="420"/>
        <w:rPr>
          <w:szCs w:val="22"/>
        </w:rPr>
      </w:pPr>
      <w:r>
        <w:rPr>
          <w:rFonts w:hint="eastAsia"/>
          <w:szCs w:val="22"/>
        </w:rPr>
        <w:t>3</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养殖水域</w:t>
      </w:r>
      <w:r>
        <w:rPr>
          <w:rFonts w:hint="eastAsia"/>
          <w:szCs w:val="22"/>
        </w:rPr>
        <w:t>生态系统生态修复的理论；</w:t>
      </w:r>
    </w:p>
    <w:p w14:paraId="53FDD0C4">
      <w:pPr>
        <w:spacing w:line="440" w:lineRule="exact"/>
        <w:ind w:firstLine="630" w:firstLineChars="300"/>
        <w:rPr>
          <w:szCs w:val="22"/>
        </w:rPr>
      </w:pPr>
      <w:r>
        <w:rPr>
          <w:rFonts w:hint="eastAsia"/>
          <w:szCs w:val="22"/>
        </w:rPr>
        <w:t>养殖水域生态系统生态修复的技术手段、措施及其经典案列。</w:t>
      </w:r>
    </w:p>
    <w:p w14:paraId="0B616E87">
      <w:pPr>
        <w:spacing w:line="440" w:lineRule="exact"/>
        <w:ind w:firstLine="5670" w:firstLineChars="2700"/>
        <w:rPr>
          <w:szCs w:val="22"/>
        </w:rPr>
      </w:pPr>
      <w:r>
        <w:rPr>
          <w:rFonts w:hint="eastAsia"/>
          <w:szCs w:val="22"/>
        </w:rPr>
        <w:t xml:space="preserve">                                            </w:t>
      </w:r>
      <w:bookmarkStart w:id="0" w:name="_GoBack"/>
      <w:bookmarkEnd w:id="0"/>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汉仪中宋简">
    <w:panose1 w:val="02010600000101010101"/>
    <w:charset w:val="80"/>
    <w:family w:val="auto"/>
    <w:pitch w:val="default"/>
    <w:sig w:usb0="800002BF" w:usb1="184F6CF8" w:usb2="00000012" w:usb3="00000000" w:csb0="0002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62B194"/>
    <w:multiLevelType w:val="singleLevel"/>
    <w:tmpl w:val="F362B194"/>
    <w:lvl w:ilvl="0" w:tentative="0">
      <w:start w:val="3"/>
      <w:numFmt w:val="decimal"/>
      <w:suff w:val="nothing"/>
      <w:lvlText w:val="%1．"/>
      <w:lvlJc w:val="left"/>
    </w:lvl>
  </w:abstractNum>
  <w:abstractNum w:abstractNumId="1">
    <w:nsid w:val="68A2F2A0"/>
    <w:multiLevelType w:val="singleLevel"/>
    <w:tmpl w:val="68A2F2A0"/>
    <w:lvl w:ilvl="0" w:tentative="0">
      <w:start w:val="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k2MDUwYThmNzIyZDczMTI5ZDUxODY5Y2Y1MGM5Y2MifQ=="/>
  </w:docVars>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6F44"/>
    <w:rsid w:val="001F7628"/>
    <w:rsid w:val="0020584A"/>
    <w:rsid w:val="002101AE"/>
    <w:rsid w:val="00213B50"/>
    <w:rsid w:val="00215CD8"/>
    <w:rsid w:val="002225FA"/>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28E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0DDB"/>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2E98"/>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928"/>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57FCE"/>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528B"/>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3CA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B6F83"/>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CF68A5"/>
    <w:rsid w:val="00D01BCD"/>
    <w:rsid w:val="00D05207"/>
    <w:rsid w:val="00D2031A"/>
    <w:rsid w:val="00D23B98"/>
    <w:rsid w:val="00D42592"/>
    <w:rsid w:val="00D501D8"/>
    <w:rsid w:val="00D50F88"/>
    <w:rsid w:val="00D54F9E"/>
    <w:rsid w:val="00D604DE"/>
    <w:rsid w:val="00D640AD"/>
    <w:rsid w:val="00D7373B"/>
    <w:rsid w:val="00D74290"/>
    <w:rsid w:val="00D8154A"/>
    <w:rsid w:val="00D865BC"/>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0FF5"/>
    <w:rsid w:val="00F1123C"/>
    <w:rsid w:val="00F15D19"/>
    <w:rsid w:val="00F21E1F"/>
    <w:rsid w:val="00F22C6A"/>
    <w:rsid w:val="00F23907"/>
    <w:rsid w:val="00F24384"/>
    <w:rsid w:val="00F258DA"/>
    <w:rsid w:val="00F262C1"/>
    <w:rsid w:val="00F4135D"/>
    <w:rsid w:val="00F51555"/>
    <w:rsid w:val="00F5307F"/>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00390C"/>
    <w:rsid w:val="01743DA8"/>
    <w:rsid w:val="01FE6284"/>
    <w:rsid w:val="02C8468B"/>
    <w:rsid w:val="03441280"/>
    <w:rsid w:val="037832DD"/>
    <w:rsid w:val="03A02027"/>
    <w:rsid w:val="03A31482"/>
    <w:rsid w:val="04024C43"/>
    <w:rsid w:val="044762DD"/>
    <w:rsid w:val="046C0EE8"/>
    <w:rsid w:val="047F28B6"/>
    <w:rsid w:val="04A46CA4"/>
    <w:rsid w:val="051F4113"/>
    <w:rsid w:val="053F4B4A"/>
    <w:rsid w:val="056011E7"/>
    <w:rsid w:val="08922B11"/>
    <w:rsid w:val="09556A33"/>
    <w:rsid w:val="09C23012"/>
    <w:rsid w:val="09C41322"/>
    <w:rsid w:val="09C72ED7"/>
    <w:rsid w:val="0ABF29D0"/>
    <w:rsid w:val="0ACD260F"/>
    <w:rsid w:val="0ACF76FC"/>
    <w:rsid w:val="0B093477"/>
    <w:rsid w:val="0B947A89"/>
    <w:rsid w:val="0C8B72E0"/>
    <w:rsid w:val="0D64750C"/>
    <w:rsid w:val="0D7C46FB"/>
    <w:rsid w:val="0E0B4D3F"/>
    <w:rsid w:val="0E1935D1"/>
    <w:rsid w:val="0F1D0FEE"/>
    <w:rsid w:val="1018575E"/>
    <w:rsid w:val="11537A88"/>
    <w:rsid w:val="1181205F"/>
    <w:rsid w:val="118C11EC"/>
    <w:rsid w:val="118D2CA9"/>
    <w:rsid w:val="12683670"/>
    <w:rsid w:val="129245E0"/>
    <w:rsid w:val="12BA328E"/>
    <w:rsid w:val="14407B5E"/>
    <w:rsid w:val="149D6E20"/>
    <w:rsid w:val="15B64A89"/>
    <w:rsid w:val="16027CCE"/>
    <w:rsid w:val="16734BDC"/>
    <w:rsid w:val="17563E2E"/>
    <w:rsid w:val="175F365B"/>
    <w:rsid w:val="17A3088B"/>
    <w:rsid w:val="17D73696"/>
    <w:rsid w:val="17DA2F93"/>
    <w:rsid w:val="18C7028E"/>
    <w:rsid w:val="193278C5"/>
    <w:rsid w:val="19B13F87"/>
    <w:rsid w:val="1A970B43"/>
    <w:rsid w:val="1AE17DE3"/>
    <w:rsid w:val="1B38618A"/>
    <w:rsid w:val="1B4824A7"/>
    <w:rsid w:val="1B5D064D"/>
    <w:rsid w:val="1BC85FBD"/>
    <w:rsid w:val="1BE6353D"/>
    <w:rsid w:val="1C1A5CE0"/>
    <w:rsid w:val="1C320B3B"/>
    <w:rsid w:val="1D13066F"/>
    <w:rsid w:val="1D266050"/>
    <w:rsid w:val="1D315AF0"/>
    <w:rsid w:val="1D585852"/>
    <w:rsid w:val="1DCC3CE2"/>
    <w:rsid w:val="1DDE4B7D"/>
    <w:rsid w:val="1E306A99"/>
    <w:rsid w:val="1E3349C4"/>
    <w:rsid w:val="1F0911CF"/>
    <w:rsid w:val="200413B1"/>
    <w:rsid w:val="20131A51"/>
    <w:rsid w:val="210019D4"/>
    <w:rsid w:val="21296B83"/>
    <w:rsid w:val="2204306F"/>
    <w:rsid w:val="223411EE"/>
    <w:rsid w:val="22D36C7A"/>
    <w:rsid w:val="22DC1571"/>
    <w:rsid w:val="23111551"/>
    <w:rsid w:val="23432543"/>
    <w:rsid w:val="23A54128"/>
    <w:rsid w:val="25873D4C"/>
    <w:rsid w:val="25B05051"/>
    <w:rsid w:val="26AA45A0"/>
    <w:rsid w:val="272418C7"/>
    <w:rsid w:val="2799793B"/>
    <w:rsid w:val="27BD0834"/>
    <w:rsid w:val="28CC4D63"/>
    <w:rsid w:val="2A1F15EF"/>
    <w:rsid w:val="2AAA0F04"/>
    <w:rsid w:val="2B025CBE"/>
    <w:rsid w:val="2B7467B6"/>
    <w:rsid w:val="2BD517FB"/>
    <w:rsid w:val="2C4D7176"/>
    <w:rsid w:val="2D2C746F"/>
    <w:rsid w:val="2D790FB4"/>
    <w:rsid w:val="2DC07DFB"/>
    <w:rsid w:val="2DC66F57"/>
    <w:rsid w:val="2E00207A"/>
    <w:rsid w:val="2ECE640F"/>
    <w:rsid w:val="2F0C0429"/>
    <w:rsid w:val="2FE24EB4"/>
    <w:rsid w:val="301E2FB8"/>
    <w:rsid w:val="307E0BEA"/>
    <w:rsid w:val="31580671"/>
    <w:rsid w:val="31597F2B"/>
    <w:rsid w:val="31652F32"/>
    <w:rsid w:val="3175415E"/>
    <w:rsid w:val="31973E03"/>
    <w:rsid w:val="323963CE"/>
    <w:rsid w:val="32D36964"/>
    <w:rsid w:val="334322ED"/>
    <w:rsid w:val="334F2F51"/>
    <w:rsid w:val="34022BA7"/>
    <w:rsid w:val="345279EA"/>
    <w:rsid w:val="35790505"/>
    <w:rsid w:val="36B349A1"/>
    <w:rsid w:val="36DB2934"/>
    <w:rsid w:val="37675682"/>
    <w:rsid w:val="37962D42"/>
    <w:rsid w:val="39453A52"/>
    <w:rsid w:val="39627BF1"/>
    <w:rsid w:val="39F36121"/>
    <w:rsid w:val="3A944AE9"/>
    <w:rsid w:val="3AE96684"/>
    <w:rsid w:val="3B387E07"/>
    <w:rsid w:val="3B822ECC"/>
    <w:rsid w:val="3C0C75B0"/>
    <w:rsid w:val="3D132A11"/>
    <w:rsid w:val="3DDE2E9D"/>
    <w:rsid w:val="3EA90437"/>
    <w:rsid w:val="3F156CC5"/>
    <w:rsid w:val="402721F3"/>
    <w:rsid w:val="40647062"/>
    <w:rsid w:val="409F4323"/>
    <w:rsid w:val="43483CFF"/>
    <w:rsid w:val="43624378"/>
    <w:rsid w:val="43A551AE"/>
    <w:rsid w:val="43AB7211"/>
    <w:rsid w:val="43D07284"/>
    <w:rsid w:val="445C698F"/>
    <w:rsid w:val="44805BCC"/>
    <w:rsid w:val="45021AE0"/>
    <w:rsid w:val="45AE141C"/>
    <w:rsid w:val="461A7810"/>
    <w:rsid w:val="479A2D85"/>
    <w:rsid w:val="48345DB6"/>
    <w:rsid w:val="487875F3"/>
    <w:rsid w:val="48DD3AFF"/>
    <w:rsid w:val="48EA55B8"/>
    <w:rsid w:val="49D614B7"/>
    <w:rsid w:val="49FF49ED"/>
    <w:rsid w:val="4A3E412A"/>
    <w:rsid w:val="4A842EE5"/>
    <w:rsid w:val="4AFA6B3E"/>
    <w:rsid w:val="4BF121CF"/>
    <w:rsid w:val="4C112CF8"/>
    <w:rsid w:val="4D3E34D9"/>
    <w:rsid w:val="4D43327E"/>
    <w:rsid w:val="4D9B59E1"/>
    <w:rsid w:val="4DF9236D"/>
    <w:rsid w:val="4E7B0596"/>
    <w:rsid w:val="4F5020A0"/>
    <w:rsid w:val="50204007"/>
    <w:rsid w:val="506E5041"/>
    <w:rsid w:val="527E7117"/>
    <w:rsid w:val="52E87394"/>
    <w:rsid w:val="53AA69F4"/>
    <w:rsid w:val="541859EC"/>
    <w:rsid w:val="54257E53"/>
    <w:rsid w:val="543C5BCE"/>
    <w:rsid w:val="55223D5B"/>
    <w:rsid w:val="55364495"/>
    <w:rsid w:val="555809C1"/>
    <w:rsid w:val="561623FF"/>
    <w:rsid w:val="574C257C"/>
    <w:rsid w:val="585B4102"/>
    <w:rsid w:val="589909E8"/>
    <w:rsid w:val="58BE3005"/>
    <w:rsid w:val="5940047C"/>
    <w:rsid w:val="5946467A"/>
    <w:rsid w:val="5CEC0362"/>
    <w:rsid w:val="5D226586"/>
    <w:rsid w:val="5D2354A4"/>
    <w:rsid w:val="5E8B4A04"/>
    <w:rsid w:val="5F091F53"/>
    <w:rsid w:val="5F11230A"/>
    <w:rsid w:val="5F486248"/>
    <w:rsid w:val="60156F82"/>
    <w:rsid w:val="61B11535"/>
    <w:rsid w:val="636C0698"/>
    <w:rsid w:val="63FF3399"/>
    <w:rsid w:val="649C5F30"/>
    <w:rsid w:val="65366619"/>
    <w:rsid w:val="65AB124F"/>
    <w:rsid w:val="66013F92"/>
    <w:rsid w:val="66652D12"/>
    <w:rsid w:val="666A50D1"/>
    <w:rsid w:val="66842351"/>
    <w:rsid w:val="67344091"/>
    <w:rsid w:val="67616DD2"/>
    <w:rsid w:val="676701AB"/>
    <w:rsid w:val="68E142FC"/>
    <w:rsid w:val="69AC4290"/>
    <w:rsid w:val="69F55534"/>
    <w:rsid w:val="6A084EC2"/>
    <w:rsid w:val="6AD00FEE"/>
    <w:rsid w:val="6B63780E"/>
    <w:rsid w:val="6B6911E6"/>
    <w:rsid w:val="6B8307D1"/>
    <w:rsid w:val="6BCC096E"/>
    <w:rsid w:val="6C004A24"/>
    <w:rsid w:val="6C940514"/>
    <w:rsid w:val="6DD814D1"/>
    <w:rsid w:val="6E113780"/>
    <w:rsid w:val="6EE449F0"/>
    <w:rsid w:val="6F9C1648"/>
    <w:rsid w:val="70D72A5F"/>
    <w:rsid w:val="718304F0"/>
    <w:rsid w:val="721B59C0"/>
    <w:rsid w:val="72F3018C"/>
    <w:rsid w:val="736E6F7E"/>
    <w:rsid w:val="73B20129"/>
    <w:rsid w:val="73CB1619"/>
    <w:rsid w:val="7438406B"/>
    <w:rsid w:val="75BD6337"/>
    <w:rsid w:val="75C072A6"/>
    <w:rsid w:val="76314E47"/>
    <w:rsid w:val="76C945B1"/>
    <w:rsid w:val="76E13182"/>
    <w:rsid w:val="76F15EF9"/>
    <w:rsid w:val="783C3476"/>
    <w:rsid w:val="79670542"/>
    <w:rsid w:val="798F5D3B"/>
    <w:rsid w:val="7A3F3423"/>
    <w:rsid w:val="7A9B36D9"/>
    <w:rsid w:val="7B486692"/>
    <w:rsid w:val="7C5F1CE0"/>
    <w:rsid w:val="7DF10063"/>
    <w:rsid w:val="7E067ADB"/>
    <w:rsid w:val="7E62360E"/>
    <w:rsid w:val="7E857F9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qFormat/>
    <w:uiPriority w:val="0"/>
    <w:rPr>
      <w:color w:val="0000FF"/>
      <w:u w:val="single"/>
    </w:rPr>
  </w:style>
  <w:style w:type="character" w:customStyle="1" w:styleId="10">
    <w:name w:val="页眉 字符"/>
    <w:link w:val="5"/>
    <w:qFormat/>
    <w:uiPriority w:val="0"/>
    <w:rPr>
      <w:kern w:val="2"/>
      <w:sz w:val="18"/>
      <w:szCs w:val="18"/>
    </w:rPr>
  </w:style>
  <w:style w:type="character" w:customStyle="1" w:styleId="11">
    <w:name w:val="页脚 字符"/>
    <w:link w:val="4"/>
    <w:qFormat/>
    <w:uiPriority w:val="0"/>
    <w:rPr>
      <w:kern w:val="2"/>
      <w:sz w:val="18"/>
      <w:szCs w:val="18"/>
    </w:rPr>
  </w:style>
  <w:style w:type="character" w:customStyle="1" w:styleId="12">
    <w:name w:val="apple-converted-space"/>
    <w:basedOn w:val="8"/>
    <w:qFormat/>
    <w:uiPriority w:val="0"/>
  </w:style>
  <w:style w:type="character" w:customStyle="1" w:styleId="13">
    <w:name w:val="正文文本缩进 字符"/>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5</Pages>
  <Words>3575</Words>
  <Characters>3609</Characters>
  <Lines>27</Lines>
  <Paragraphs>7</Paragraphs>
  <TotalTime>6</TotalTime>
  <ScaleCrop>false</ScaleCrop>
  <LinksUpToDate>false</LinksUpToDate>
  <CharactersWithSpaces>3752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2025-09-12T04:58:00Z</dcterms:created>
  <dc:creator>李丽兰</dc:creator>
  <cp:lastModifiedBy>宋江南</cp:lastModifiedBy>
  <cp:lastPrinted>2018-07-16T02:14:00Z</cp:lastPrinted>
  <dcterms:modified xsi:type="dcterms:W3CDTF">2025-09-30T07:07:23Z</dcterms:modified>
  <dc:title>关于编制2002年硕士研究生招生专业目录的通知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3BECFE16F7EF444AB4C31FBD4325D79D_13</vt:lpwstr>
  </property>
  <property fmtid="{D5CDD505-2E9C-101B-9397-08002B2CF9AE}" pid="4" name="KSOTemplateDocerSaveRecord">
    <vt:lpwstr>eyJoZGlkIjoiM2QxOTExYWIyZjZjNzRmNTVjZTNmZjZmYTRkODBiMzYiLCJ1c2VySWQiOiIzNzc5ODQ5MDgifQ==</vt:lpwstr>
  </property>
</Properties>
</file>