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623F4">
      <w:pPr>
        <w:widowControl/>
        <w:jc w:val="left"/>
        <w:rPr>
          <w:rFonts w:hint="eastAsia" w:ascii="黑体" w:hAnsi="黑体" w:eastAsia="黑体"/>
          <w:color w:val="000000"/>
          <w:kern w:val="0"/>
          <w:sz w:val="15"/>
          <w:szCs w:val="15"/>
        </w:rPr>
      </w:pPr>
      <w:r>
        <w:rPr>
          <w:rFonts w:ascii="黑体" w:hAnsi="黑体" w:eastAsia="黑体"/>
          <w:color w:val="000000"/>
          <w:kern w:val="0"/>
          <w:sz w:val="15"/>
          <w:szCs w:val="15"/>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黑体" w:hAnsi="黑体" w:eastAsia="黑体"/>
          <w:color w:val="000000"/>
          <w:kern w:val="0"/>
          <w:sz w:val="15"/>
          <w:szCs w:val="15"/>
        </w:rPr>
        <w:instrText xml:space="preserve">ADDIN CNKISM.UserStyle</w:instrText>
      </w:r>
      <w:r>
        <w:rPr>
          <w:rFonts w:ascii="黑体" w:hAnsi="黑体" w:eastAsia="黑体"/>
          <w:color w:val="000000"/>
          <w:kern w:val="0"/>
          <w:sz w:val="15"/>
          <w:szCs w:val="15"/>
        </w:rPr>
        <w:fldChar w:fldCharType="end"/>
      </w:r>
    </w:p>
    <w:p w14:paraId="7BCCEAD8">
      <w:pPr>
        <w:spacing w:before="240" w:beforeLines="100" w:after="240" w:afterLines="100" w:line="360" w:lineRule="auto"/>
        <w:jc w:val="center"/>
        <w:rPr>
          <w:rFonts w:hint="eastAsia" w:ascii="华文中宋" w:hAnsi="华文中宋" w:eastAsia="华文中宋"/>
          <w:b/>
          <w:color w:val="000000"/>
          <w:sz w:val="32"/>
          <w:szCs w:val="32"/>
        </w:rPr>
      </w:pPr>
      <w:r>
        <w:rPr>
          <w:rFonts w:hint="eastAsia"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bookmarkStart w:id="0" w:name="_GoBack"/>
      <w:bookmarkEnd w:id="0"/>
      <w:r>
        <w:rPr>
          <w:rFonts w:hint="eastAsia" w:ascii="华文中宋" w:hAnsi="华文中宋" w:eastAsia="华文中宋"/>
          <w:b/>
          <w:color w:val="000000"/>
          <w:sz w:val="32"/>
          <w:szCs w:val="32"/>
        </w:rPr>
        <w:t>年全国硕士研究生招生考试农村公共管理考试大纲</w:t>
      </w:r>
    </w:p>
    <w:p w14:paraId="109B4897">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Ⅰ．考试性质</w:t>
      </w:r>
    </w:p>
    <w:p w14:paraId="74CCD867">
      <w:pPr>
        <w:spacing w:line="324" w:lineRule="auto"/>
        <w:rPr>
          <w:rFonts w:hint="eastAsia" w:ascii="仿宋" w:hAnsi="仿宋" w:eastAsia="仿宋" w:cs="仿宋"/>
          <w:sz w:val="24"/>
          <w:szCs w:val="24"/>
        </w:rPr>
      </w:pPr>
      <w:r>
        <w:rPr>
          <w:rFonts w:hint="eastAsia" w:ascii="仿宋" w:hAnsi="仿宋" w:eastAsia="仿宋" w:cs="仿宋"/>
          <w:sz w:val="24"/>
          <w:szCs w:val="24"/>
        </w:rPr>
        <w:t>　　农村公共管理是为湖南农业大学招收农业管理专业型硕士研究生而设置的具有选拔功能的水平考试，其目的是科学、公平、有效地测试考生掌握大学本科阶段农村公共管理的基本知识、基本理论和基本方法以及运用农村公共管理的基本理论知识和方法分析和解决相关问题的能力，评价的标准是高等学校本科毕业生能达到的及格或及格以上水平，有利于招生学院在专业上择优选拔。</w:t>
      </w:r>
    </w:p>
    <w:p w14:paraId="7CC8F275">
      <w:pPr>
        <w:spacing w:line="324" w:lineRule="auto"/>
        <w:rPr>
          <w:rFonts w:hint="eastAsia" w:ascii="仿宋" w:hAnsi="仿宋" w:eastAsia="仿宋" w:cs="仿宋"/>
          <w:b/>
          <w:bCs/>
          <w:sz w:val="24"/>
          <w:szCs w:val="24"/>
        </w:rPr>
      </w:pPr>
    </w:p>
    <w:p w14:paraId="048E6D85">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Ⅱ．考查目标</w:t>
      </w:r>
    </w:p>
    <w:p w14:paraId="278FFF1F">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农村公共管理考试涵盖主要包括农村公共管理概述、农村公共管理理论基础、农村公共管理组织、农村公共管理职能、农村公共管理的基本工具、农村公共管理绩效评价、农村科教文卫体事业管理、农村社会保障、农村环境保护与治理、农村基础设施建设、农村公共事务管理、社会研究方法概论、理论与研究设计、测量与抽样、量化资料收集与整理、定量资料分析等内容。要求考生：</w:t>
      </w:r>
    </w:p>
    <w:p w14:paraId="4A2AC8D8">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1．较准确掌握农村公共管理的基本概念。</w:t>
      </w:r>
    </w:p>
    <w:p w14:paraId="4401BBB8">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2．系统地了解和掌握农村公共管理的基本知识、基本理论和基本方法。</w:t>
      </w:r>
    </w:p>
    <w:p w14:paraId="1545953A">
      <w:pPr>
        <w:spacing w:line="324" w:lineRule="auto"/>
        <w:ind w:firstLine="420"/>
        <w:rPr>
          <w:rFonts w:hint="eastAsia" w:ascii="仿宋" w:hAnsi="仿宋" w:eastAsia="仿宋" w:cs="仿宋"/>
          <w:sz w:val="24"/>
          <w:szCs w:val="24"/>
        </w:rPr>
      </w:pPr>
      <w:r>
        <w:rPr>
          <w:rFonts w:hint="eastAsia" w:ascii="仿宋" w:hAnsi="仿宋" w:eastAsia="仿宋" w:cs="仿宋"/>
          <w:sz w:val="24"/>
          <w:szCs w:val="24"/>
        </w:rPr>
        <w:t>3．能够运用社会研究方法，分析和解决农村公共管理相关的理论问题和实际问题。</w:t>
      </w:r>
    </w:p>
    <w:p w14:paraId="03DDE79B">
      <w:pPr>
        <w:spacing w:line="324" w:lineRule="auto"/>
        <w:rPr>
          <w:rFonts w:hint="eastAsia" w:ascii="仿宋" w:hAnsi="仿宋" w:eastAsia="仿宋" w:cs="仿宋"/>
          <w:b/>
          <w:bCs/>
          <w:sz w:val="24"/>
          <w:szCs w:val="24"/>
        </w:rPr>
      </w:pPr>
    </w:p>
    <w:p w14:paraId="6554A0DC">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Ⅲ．考试形式和试卷结构</w:t>
      </w:r>
    </w:p>
    <w:p w14:paraId="030D7208">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一、试卷满分及考试时间</w:t>
      </w:r>
    </w:p>
    <w:p w14:paraId="3F129725">
      <w:pPr>
        <w:spacing w:line="324" w:lineRule="auto"/>
        <w:rPr>
          <w:rFonts w:hint="eastAsia" w:ascii="仿宋" w:hAnsi="仿宋" w:eastAsia="仿宋" w:cs="仿宋"/>
          <w:sz w:val="24"/>
          <w:szCs w:val="24"/>
        </w:rPr>
      </w:pPr>
      <w:r>
        <w:rPr>
          <w:rFonts w:hint="eastAsia" w:ascii="仿宋" w:hAnsi="仿宋" w:eastAsia="仿宋" w:cs="仿宋"/>
          <w:sz w:val="24"/>
          <w:szCs w:val="24"/>
        </w:rPr>
        <w:t>　　本试卷满分为150分，考试时间为180分钟。</w:t>
      </w:r>
    </w:p>
    <w:p w14:paraId="568DFB4A">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二、答题方式</w:t>
      </w:r>
    </w:p>
    <w:p w14:paraId="0859A304">
      <w:pPr>
        <w:spacing w:line="324" w:lineRule="auto"/>
        <w:rPr>
          <w:rFonts w:hint="eastAsia" w:ascii="仿宋" w:hAnsi="仿宋" w:eastAsia="仿宋" w:cs="仿宋"/>
          <w:sz w:val="24"/>
          <w:szCs w:val="24"/>
        </w:rPr>
      </w:pPr>
      <w:r>
        <w:rPr>
          <w:rFonts w:hint="eastAsia" w:ascii="仿宋" w:hAnsi="仿宋" w:eastAsia="仿宋" w:cs="仿宋"/>
          <w:sz w:val="24"/>
          <w:szCs w:val="24"/>
        </w:rPr>
        <w:t>　　答题方式为闭卷、笔试。</w:t>
      </w:r>
    </w:p>
    <w:p w14:paraId="6D7B1B6D">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三、试卷内容结构</w:t>
      </w:r>
    </w:p>
    <w:p w14:paraId="4AEED905">
      <w:pPr>
        <w:spacing w:line="324" w:lineRule="auto"/>
        <w:rPr>
          <w:rFonts w:hint="eastAsia" w:ascii="仿宋" w:hAnsi="仿宋" w:eastAsia="仿宋" w:cs="仿宋"/>
          <w:sz w:val="24"/>
          <w:szCs w:val="24"/>
        </w:rPr>
      </w:pPr>
      <w:r>
        <w:rPr>
          <w:rFonts w:hint="eastAsia" w:ascii="仿宋" w:hAnsi="仿宋" w:eastAsia="仿宋" w:cs="仿宋"/>
          <w:sz w:val="24"/>
          <w:szCs w:val="24"/>
        </w:rPr>
        <w:t>　　农村公共管理的基本概念</w:t>
      </w:r>
    </w:p>
    <w:p w14:paraId="3ABA5A5C">
      <w:pPr>
        <w:spacing w:line="324" w:lineRule="auto"/>
        <w:rPr>
          <w:rFonts w:hint="eastAsia" w:ascii="仿宋" w:hAnsi="仿宋" w:eastAsia="仿宋" w:cs="仿宋"/>
          <w:sz w:val="24"/>
          <w:szCs w:val="24"/>
        </w:rPr>
      </w:pPr>
      <w:r>
        <w:rPr>
          <w:rFonts w:hint="eastAsia" w:ascii="仿宋" w:hAnsi="仿宋" w:eastAsia="仿宋" w:cs="仿宋"/>
          <w:sz w:val="24"/>
          <w:szCs w:val="24"/>
        </w:rPr>
        <w:t>　　农村公共管理的基本知识和基本理论</w:t>
      </w:r>
    </w:p>
    <w:p w14:paraId="2951B5E2">
      <w:pPr>
        <w:spacing w:line="324" w:lineRule="auto"/>
        <w:rPr>
          <w:rFonts w:hint="eastAsia" w:ascii="仿宋" w:hAnsi="仿宋" w:eastAsia="仿宋" w:cs="仿宋"/>
          <w:sz w:val="24"/>
          <w:szCs w:val="24"/>
        </w:rPr>
      </w:pPr>
      <w:r>
        <w:rPr>
          <w:rFonts w:hint="eastAsia" w:ascii="仿宋" w:hAnsi="仿宋" w:eastAsia="仿宋" w:cs="仿宋"/>
          <w:sz w:val="24"/>
          <w:szCs w:val="24"/>
        </w:rPr>
        <w:t>　　农村公共管理的基本方法</w:t>
      </w:r>
    </w:p>
    <w:p w14:paraId="28DC0465">
      <w:pPr>
        <w:spacing w:line="324" w:lineRule="auto"/>
        <w:rPr>
          <w:rFonts w:hint="eastAsia" w:ascii="仿宋" w:hAnsi="仿宋" w:eastAsia="仿宋" w:cs="仿宋"/>
          <w:b/>
          <w:sz w:val="24"/>
          <w:szCs w:val="24"/>
        </w:rPr>
      </w:pPr>
      <w:r>
        <w:rPr>
          <w:rFonts w:hint="eastAsia" w:ascii="仿宋" w:hAnsi="仿宋" w:eastAsia="仿宋" w:cs="仿宋"/>
          <w:sz w:val="24"/>
          <w:szCs w:val="24"/>
        </w:rPr>
        <w:t>　　</w:t>
      </w:r>
      <w:r>
        <w:rPr>
          <w:rFonts w:hint="eastAsia" w:ascii="仿宋" w:hAnsi="仿宋" w:eastAsia="仿宋" w:cs="仿宋"/>
          <w:b/>
          <w:sz w:val="24"/>
          <w:szCs w:val="24"/>
        </w:rPr>
        <w:t>四、试卷题型结构</w:t>
      </w:r>
    </w:p>
    <w:p w14:paraId="73027375">
      <w:pPr>
        <w:spacing w:line="324" w:lineRule="auto"/>
        <w:rPr>
          <w:rFonts w:hint="eastAsia" w:ascii="仿宋" w:hAnsi="仿宋" w:eastAsia="仿宋" w:cs="仿宋"/>
          <w:sz w:val="24"/>
          <w:szCs w:val="24"/>
        </w:rPr>
      </w:pPr>
      <w:r>
        <w:rPr>
          <w:rFonts w:hint="eastAsia" w:ascii="仿宋" w:hAnsi="仿宋" w:eastAsia="仿宋" w:cs="仿宋"/>
          <w:sz w:val="24"/>
          <w:szCs w:val="24"/>
        </w:rPr>
        <w:t>　　名词解释题30分</w:t>
      </w:r>
    </w:p>
    <w:p w14:paraId="498D5DA1">
      <w:pPr>
        <w:spacing w:line="324" w:lineRule="auto"/>
        <w:rPr>
          <w:rFonts w:hint="eastAsia" w:ascii="仿宋" w:hAnsi="仿宋" w:eastAsia="仿宋" w:cs="仿宋"/>
          <w:sz w:val="24"/>
          <w:szCs w:val="24"/>
        </w:rPr>
      </w:pPr>
      <w:r>
        <w:rPr>
          <w:rFonts w:hint="eastAsia" w:ascii="仿宋" w:hAnsi="仿宋" w:eastAsia="仿宋" w:cs="仿宋"/>
          <w:sz w:val="24"/>
          <w:szCs w:val="24"/>
        </w:rPr>
        <w:t>　　简答题60分</w:t>
      </w:r>
    </w:p>
    <w:p w14:paraId="2CEA78E2">
      <w:pPr>
        <w:spacing w:line="324" w:lineRule="auto"/>
        <w:rPr>
          <w:rFonts w:hint="eastAsia" w:ascii="仿宋" w:hAnsi="仿宋" w:eastAsia="仿宋" w:cs="仿宋"/>
          <w:sz w:val="24"/>
          <w:szCs w:val="24"/>
        </w:rPr>
      </w:pPr>
      <w:r>
        <w:rPr>
          <w:rFonts w:hint="eastAsia" w:ascii="仿宋" w:hAnsi="仿宋" w:eastAsia="仿宋" w:cs="仿宋"/>
          <w:sz w:val="24"/>
          <w:szCs w:val="24"/>
        </w:rPr>
        <w:t>　　论述题60分</w:t>
      </w:r>
    </w:p>
    <w:p w14:paraId="4EADA040">
      <w:pPr>
        <w:spacing w:line="324" w:lineRule="auto"/>
        <w:rPr>
          <w:rFonts w:hint="eastAsia" w:ascii="仿宋" w:hAnsi="仿宋" w:eastAsia="仿宋" w:cs="仿宋"/>
          <w:b/>
          <w:bCs/>
          <w:sz w:val="24"/>
          <w:szCs w:val="24"/>
        </w:rPr>
      </w:pPr>
      <w:r>
        <w:rPr>
          <w:rFonts w:hint="eastAsia" w:ascii="仿宋" w:hAnsi="仿宋" w:eastAsia="仿宋" w:cs="仿宋"/>
          <w:b/>
          <w:bCs/>
          <w:sz w:val="24"/>
          <w:szCs w:val="24"/>
        </w:rPr>
        <w:t>Ⅳ．考查内容</w:t>
      </w:r>
    </w:p>
    <w:p w14:paraId="4D6D4A67">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（一） 农村公共管理概论</w:t>
      </w:r>
    </w:p>
    <w:p w14:paraId="6C4F3A34">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1、掌握农村公共管理基本概念，了解农村公共管理的概念体系</w:t>
      </w:r>
    </w:p>
    <w:p w14:paraId="0A76A9F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2、了解农村公共管理的兴起和发展，农村公共管理的背景</w:t>
      </w:r>
    </w:p>
    <w:p w14:paraId="1B1117B3">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3、了解当前我国农村公共管理的基本特征和变迁</w:t>
      </w:r>
    </w:p>
    <w:p w14:paraId="1E505327">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（二） 农村公共管理基本理论与价值基础</w:t>
      </w:r>
    </w:p>
    <w:p w14:paraId="1666B64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1、了解农村公共管理研究中常用的政治行政二分法、科层制理论、政府分权理论、公共产品理论、公共选择理论、公共治理理论、农村公共危机理论、绩效管理理论、新公共管理理论、新公共服务理论等</w:t>
      </w:r>
    </w:p>
    <w:p w14:paraId="54101BB2">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2、掌握基本分析方法，能够运用某一理论基础来分析具体的农村公共管理问题</w:t>
      </w:r>
    </w:p>
    <w:p w14:paraId="1A41100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（三） 农村公共管理组织</w:t>
      </w:r>
    </w:p>
    <w:p w14:paraId="44930D3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1、了解农村公共管理组织的内涵、权责、结构框架及其设计原则</w:t>
      </w:r>
    </w:p>
    <w:p w14:paraId="1F7969C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2、了解农村基层党组织、农村基层政府组织、农村自治组织、农村社会组织等</w:t>
      </w:r>
    </w:p>
    <w:p w14:paraId="4B116827">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（四） 农村公共管理职能</w:t>
      </w:r>
    </w:p>
    <w:p w14:paraId="2FD11C38">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1、掌握农村公共管理的计划职能</w:t>
      </w:r>
    </w:p>
    <w:p w14:paraId="18363042">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2、掌握农村公共管理的组织职能</w:t>
      </w:r>
    </w:p>
    <w:p w14:paraId="28F8010E">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3、掌握农村公共管理的领导职能</w:t>
      </w:r>
    </w:p>
    <w:p w14:paraId="69C6819F">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4、掌握农村公共管理的控制职能</w:t>
      </w:r>
    </w:p>
    <w:p w14:paraId="0FF4BDF3">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（五） 农村公共管理的基本工具</w:t>
      </w:r>
    </w:p>
    <w:p w14:paraId="39C832FE">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1、掌握农村公共管理工具的内涵、分类、基本原则等</w:t>
      </w:r>
    </w:p>
    <w:p w14:paraId="6DF3149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2、了解法律工具</w:t>
      </w:r>
    </w:p>
    <w:p w14:paraId="664B0425">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3、了解行政工具</w:t>
      </w:r>
    </w:p>
    <w:p w14:paraId="044E0D6A">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4、了解经济工具</w:t>
      </w:r>
    </w:p>
    <w:p w14:paraId="3FD31B7E">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5、了解社会工具</w:t>
      </w:r>
    </w:p>
    <w:p w14:paraId="4CA31FA2">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（六） 农村公共管理绩效评价</w:t>
      </w:r>
    </w:p>
    <w:p w14:paraId="7BA38853">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1、掌握农村公共管理绩效评价指标体系构建</w:t>
      </w:r>
    </w:p>
    <w:p w14:paraId="7B741EF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2、了解农村公共管理绩效评价的模式</w:t>
      </w:r>
    </w:p>
    <w:p w14:paraId="0436287A">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3、掌握农村公共管理绩效评价方法</w:t>
      </w:r>
    </w:p>
    <w:p w14:paraId="6621585A">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（七） 农村公共事务管理（I）</w:t>
      </w:r>
    </w:p>
    <w:p w14:paraId="61613FD6">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1、了解农村科技服务与管理</w:t>
      </w:r>
    </w:p>
    <w:p w14:paraId="333BDBC4">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2、了解农村教育发展与管理</w:t>
      </w:r>
    </w:p>
    <w:p w14:paraId="70455C7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3、了解农村文化与体育事业管理</w:t>
      </w:r>
    </w:p>
    <w:p w14:paraId="6AC3BC78">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4、了解农村医疗卫生事业改革与管理</w:t>
      </w:r>
    </w:p>
    <w:p w14:paraId="1317F6C0">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（八）农村公共事务管理（II）</w:t>
      </w:r>
    </w:p>
    <w:p w14:paraId="51F28C3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1、掌握农村社会保障事业改革与管理</w:t>
      </w:r>
    </w:p>
    <w:p w14:paraId="575D9C5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2、了解农田水利基础设施建设与管理</w:t>
      </w:r>
    </w:p>
    <w:p w14:paraId="3C59B3A7">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3、掌握新型城镇化建设与村镇规划</w:t>
      </w:r>
    </w:p>
    <w:p w14:paraId="1C4BC6FC">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4、了解农村新兴产业新型业态与现代农业发展</w:t>
      </w:r>
    </w:p>
    <w:p w14:paraId="2E1AA7DB">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（九）农村公共事务管理（III）</w:t>
      </w:r>
    </w:p>
    <w:p w14:paraId="52BE6B96">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1、了解农村精准扶贫</w:t>
      </w:r>
    </w:p>
    <w:p w14:paraId="7F2E187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2、了解农村社区建设</w:t>
      </w:r>
    </w:p>
    <w:p w14:paraId="5CFA8C3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3、了解村镇反腐倡廉</w:t>
      </w:r>
    </w:p>
    <w:p w14:paraId="7C47793F">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4、掌握农村公共危机管理</w:t>
      </w:r>
    </w:p>
    <w:p w14:paraId="5BCE82D0">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（十）农村公共事务管理（IV）</w:t>
      </w:r>
    </w:p>
    <w:p w14:paraId="05E9A5E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1、了解我国农村生态环境问题</w:t>
      </w:r>
    </w:p>
    <w:p w14:paraId="32E37C0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2、掌握农村生态文明建设</w:t>
      </w:r>
    </w:p>
    <w:p w14:paraId="65879FC8">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3、了解农村环境治理与生态保护</w:t>
      </w:r>
    </w:p>
    <w:p w14:paraId="0938066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4、掌握美丽宜居乡村建设</w:t>
      </w:r>
    </w:p>
    <w:p w14:paraId="5F7F1202">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5、了解农村生态文明建设中的合作治理</w:t>
      </w:r>
    </w:p>
    <w:p w14:paraId="397154CB">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（十一）社会研究方法概论</w:t>
      </w:r>
    </w:p>
    <w:p w14:paraId="0A40C52A">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1、了解社会研究概念与特征</w:t>
      </w:r>
    </w:p>
    <w:p w14:paraId="664B67B5">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2、了解社会研究方法体系</w:t>
      </w:r>
    </w:p>
    <w:p w14:paraId="49907E2B">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3、掌握社会研究过程</w:t>
      </w:r>
    </w:p>
    <w:p w14:paraId="5632D29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（十二）理论与研究设计</w:t>
      </w:r>
    </w:p>
    <w:p w14:paraId="03B2170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1、了解理论及其层次</w:t>
      </w:r>
    </w:p>
    <w:p w14:paraId="26639BA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2、了解理论构成要素</w:t>
      </w:r>
    </w:p>
    <w:p w14:paraId="2BF726E1">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3、了解理论构建与理论检验</w:t>
      </w:r>
    </w:p>
    <w:p w14:paraId="3CC0E8C2">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4、掌握选题、文献回顾与研究设计书</w:t>
      </w:r>
    </w:p>
    <w:p w14:paraId="4D7D365D">
      <w:pPr>
        <w:numPr>
          <w:ilvl w:val="0"/>
          <w:numId w:val="1"/>
        </w:num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测量与抽样</w:t>
      </w:r>
    </w:p>
    <w:p w14:paraId="1F259B2D">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1、了解测量的概念与层次</w:t>
      </w:r>
    </w:p>
    <w:p w14:paraId="7FE647CE">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2、掌握概念的操作化与量表</w:t>
      </w:r>
    </w:p>
    <w:p w14:paraId="1EDF1EC7">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3、掌握测量的信度与效度</w:t>
      </w:r>
    </w:p>
    <w:p w14:paraId="3E158103">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4、了解抽样的作用、原理与程序</w:t>
      </w:r>
    </w:p>
    <w:p w14:paraId="2AC0431E">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5、掌握概率抽样方法与非概率抽样方法</w:t>
      </w:r>
    </w:p>
    <w:p w14:paraId="44A9108C">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6、掌握样本规模与抽样误差</w:t>
      </w:r>
    </w:p>
    <w:p w14:paraId="6AD768A0">
      <w:pPr>
        <w:numPr>
          <w:ilvl w:val="0"/>
          <w:numId w:val="1"/>
        </w:num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量化资料收集与整理</w:t>
      </w:r>
    </w:p>
    <w:p w14:paraId="5693E818">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1、了解问卷调查法</w:t>
      </w:r>
    </w:p>
    <w:p w14:paraId="22DB75C5">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2、掌握问卷设计</w:t>
      </w:r>
    </w:p>
    <w:p w14:paraId="34D3CCCA">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3、掌握数据整理与清洗</w:t>
      </w:r>
    </w:p>
    <w:p w14:paraId="610E777F">
      <w:pPr>
        <w:numPr>
          <w:ilvl w:val="0"/>
          <w:numId w:val="1"/>
        </w:num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定量资料分析</w:t>
      </w:r>
    </w:p>
    <w:p w14:paraId="4564C84F">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1、掌握单变量统计分析</w:t>
      </w:r>
    </w:p>
    <w:p w14:paraId="2B66533F">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2、掌握双变量统计分析</w:t>
      </w:r>
    </w:p>
    <w:p w14:paraId="022CA355">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3、掌握多变量统计分析</w:t>
      </w:r>
    </w:p>
    <w:p w14:paraId="7EB15D49">
      <w:pPr>
        <w:spacing w:line="324"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4、掌握其他常见量化分析方法</w:t>
      </w:r>
    </w:p>
    <w:p w14:paraId="0E434EF6">
      <w:pPr>
        <w:spacing w:line="324" w:lineRule="auto"/>
        <w:jc w:val="left"/>
        <w:rPr>
          <w:rFonts w:hint="eastAsia" w:ascii="仿宋" w:hAnsi="仿宋" w:eastAsia="仿宋" w:cs="仿宋"/>
          <w:sz w:val="24"/>
          <w:szCs w:val="24"/>
        </w:rPr>
      </w:pPr>
    </w:p>
    <w:p w14:paraId="1DD7FB4C">
      <w:pPr>
        <w:spacing w:line="324" w:lineRule="auto"/>
        <w:jc w:val="left"/>
        <w:rPr>
          <w:rFonts w:hint="eastAsia" w:ascii="仿宋" w:hAnsi="仿宋" w:eastAsia="仿宋" w:cs="仿宋"/>
          <w:sz w:val="24"/>
          <w:szCs w:val="24"/>
        </w:rPr>
      </w:pPr>
    </w:p>
    <w:p w14:paraId="108BA1F2">
      <w:pPr>
        <w:spacing w:line="324" w:lineRule="auto"/>
        <w:jc w:val="left"/>
        <w:rPr>
          <w:rFonts w:hint="eastAsia" w:ascii="仿宋" w:hAnsi="仿宋" w:eastAsia="仿宋" w:cs="仿宋"/>
          <w:sz w:val="24"/>
          <w:szCs w:val="24"/>
        </w:rPr>
      </w:pPr>
    </w:p>
    <w:p w14:paraId="4C7495B8">
      <w:pPr>
        <w:spacing w:line="324" w:lineRule="auto"/>
        <w:jc w:val="left"/>
        <w:rPr>
          <w:rFonts w:hint="eastAsia" w:ascii="仿宋" w:hAnsi="仿宋" w:eastAsia="仿宋" w:cs="仿宋"/>
          <w:sz w:val="24"/>
          <w:szCs w:val="24"/>
        </w:rPr>
      </w:pPr>
    </w:p>
    <w:p w14:paraId="583A3EA8">
      <w:pPr>
        <w:spacing w:line="324" w:lineRule="auto"/>
        <w:ind w:firstLine="480" w:firstLineChars="200"/>
        <w:jc w:val="left"/>
        <w:rPr>
          <w:rFonts w:hint="eastAsia" w:ascii="仿宋" w:hAnsi="仿宋" w:eastAsia="仿宋" w:cs="仿宋"/>
          <w:sz w:val="24"/>
          <w:szCs w:val="24"/>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0DB34F"/>
    <w:multiLevelType w:val="singleLevel"/>
    <w:tmpl w:val="2D0DB34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RiZDcwMGQwYTQ4ZDY3NTM4MDIwYzdmMDRlOGZiMTIifQ=="/>
  </w:docVars>
  <w:rsids>
    <w:rsidRoot w:val="00F73A15"/>
    <w:rsid w:val="00002A5C"/>
    <w:rsid w:val="00006F1E"/>
    <w:rsid w:val="000142B9"/>
    <w:rsid w:val="00021372"/>
    <w:rsid w:val="00022A0F"/>
    <w:rsid w:val="000371F8"/>
    <w:rsid w:val="0004471B"/>
    <w:rsid w:val="00053B9C"/>
    <w:rsid w:val="00053FF7"/>
    <w:rsid w:val="00057C79"/>
    <w:rsid w:val="00063661"/>
    <w:rsid w:val="00071B57"/>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0E44E9"/>
    <w:rsid w:val="001010CD"/>
    <w:rsid w:val="001055C1"/>
    <w:rsid w:val="001172ED"/>
    <w:rsid w:val="00135DBE"/>
    <w:rsid w:val="001423CE"/>
    <w:rsid w:val="00144591"/>
    <w:rsid w:val="001467C2"/>
    <w:rsid w:val="00147B67"/>
    <w:rsid w:val="0015224A"/>
    <w:rsid w:val="00153D62"/>
    <w:rsid w:val="001548B6"/>
    <w:rsid w:val="00155CF3"/>
    <w:rsid w:val="0016195D"/>
    <w:rsid w:val="0016247E"/>
    <w:rsid w:val="00164C02"/>
    <w:rsid w:val="0017335F"/>
    <w:rsid w:val="00182826"/>
    <w:rsid w:val="0018386E"/>
    <w:rsid w:val="00187CF5"/>
    <w:rsid w:val="001962B0"/>
    <w:rsid w:val="00196325"/>
    <w:rsid w:val="00196F51"/>
    <w:rsid w:val="001A673C"/>
    <w:rsid w:val="001A7371"/>
    <w:rsid w:val="001B3E6A"/>
    <w:rsid w:val="001C1D30"/>
    <w:rsid w:val="001D3B16"/>
    <w:rsid w:val="001D4033"/>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637D"/>
    <w:rsid w:val="002B7626"/>
    <w:rsid w:val="002E662C"/>
    <w:rsid w:val="002E68D7"/>
    <w:rsid w:val="00304198"/>
    <w:rsid w:val="00315F45"/>
    <w:rsid w:val="003444DD"/>
    <w:rsid w:val="00344DE4"/>
    <w:rsid w:val="00347AA4"/>
    <w:rsid w:val="003537DE"/>
    <w:rsid w:val="00357E3D"/>
    <w:rsid w:val="003601A4"/>
    <w:rsid w:val="0037604E"/>
    <w:rsid w:val="00376077"/>
    <w:rsid w:val="00377294"/>
    <w:rsid w:val="00377C7B"/>
    <w:rsid w:val="0038212D"/>
    <w:rsid w:val="00384FFB"/>
    <w:rsid w:val="00385209"/>
    <w:rsid w:val="00386D48"/>
    <w:rsid w:val="00387757"/>
    <w:rsid w:val="00390EFB"/>
    <w:rsid w:val="00395B87"/>
    <w:rsid w:val="003A3D0D"/>
    <w:rsid w:val="003B04F8"/>
    <w:rsid w:val="003B1FB2"/>
    <w:rsid w:val="003B702F"/>
    <w:rsid w:val="003C02F2"/>
    <w:rsid w:val="003C4A1C"/>
    <w:rsid w:val="003D0AE7"/>
    <w:rsid w:val="003D47E0"/>
    <w:rsid w:val="003D601A"/>
    <w:rsid w:val="003D70D9"/>
    <w:rsid w:val="003E34DF"/>
    <w:rsid w:val="00401FB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4F2E63"/>
    <w:rsid w:val="00504404"/>
    <w:rsid w:val="0051149E"/>
    <w:rsid w:val="005118F3"/>
    <w:rsid w:val="00514378"/>
    <w:rsid w:val="00516461"/>
    <w:rsid w:val="00522010"/>
    <w:rsid w:val="0052319F"/>
    <w:rsid w:val="00527C7C"/>
    <w:rsid w:val="00531821"/>
    <w:rsid w:val="005347BE"/>
    <w:rsid w:val="005429D4"/>
    <w:rsid w:val="0054366F"/>
    <w:rsid w:val="005506FB"/>
    <w:rsid w:val="00555BC6"/>
    <w:rsid w:val="00586EC4"/>
    <w:rsid w:val="005875D2"/>
    <w:rsid w:val="00587B52"/>
    <w:rsid w:val="00591027"/>
    <w:rsid w:val="005917AC"/>
    <w:rsid w:val="005966FE"/>
    <w:rsid w:val="005A1FFB"/>
    <w:rsid w:val="005C3A72"/>
    <w:rsid w:val="005D0F90"/>
    <w:rsid w:val="005D2493"/>
    <w:rsid w:val="005D3A0C"/>
    <w:rsid w:val="005E1D94"/>
    <w:rsid w:val="005E4A3C"/>
    <w:rsid w:val="005F2B82"/>
    <w:rsid w:val="005F35D5"/>
    <w:rsid w:val="005F3755"/>
    <w:rsid w:val="0060054D"/>
    <w:rsid w:val="00607AFF"/>
    <w:rsid w:val="006101CB"/>
    <w:rsid w:val="0061101F"/>
    <w:rsid w:val="00615EAA"/>
    <w:rsid w:val="00616111"/>
    <w:rsid w:val="0061638E"/>
    <w:rsid w:val="00622F14"/>
    <w:rsid w:val="00626B6D"/>
    <w:rsid w:val="00632A9A"/>
    <w:rsid w:val="00633982"/>
    <w:rsid w:val="00633FDA"/>
    <w:rsid w:val="006416D1"/>
    <w:rsid w:val="006452A4"/>
    <w:rsid w:val="00652FAD"/>
    <w:rsid w:val="00656FDF"/>
    <w:rsid w:val="0066577F"/>
    <w:rsid w:val="00666D6B"/>
    <w:rsid w:val="006700D7"/>
    <w:rsid w:val="0067147C"/>
    <w:rsid w:val="006731B9"/>
    <w:rsid w:val="006744AC"/>
    <w:rsid w:val="00677341"/>
    <w:rsid w:val="00682A5E"/>
    <w:rsid w:val="00683794"/>
    <w:rsid w:val="006902AF"/>
    <w:rsid w:val="006957A2"/>
    <w:rsid w:val="006A1ACD"/>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2FB"/>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A16C2"/>
    <w:rsid w:val="007A7855"/>
    <w:rsid w:val="007B1F4B"/>
    <w:rsid w:val="007B5B1B"/>
    <w:rsid w:val="007B5E20"/>
    <w:rsid w:val="007C15FA"/>
    <w:rsid w:val="007C5D9D"/>
    <w:rsid w:val="007C67C1"/>
    <w:rsid w:val="007E2CF2"/>
    <w:rsid w:val="007F5D5E"/>
    <w:rsid w:val="007F6A41"/>
    <w:rsid w:val="008034E7"/>
    <w:rsid w:val="00810912"/>
    <w:rsid w:val="00826E54"/>
    <w:rsid w:val="0083460B"/>
    <w:rsid w:val="008375AE"/>
    <w:rsid w:val="008376DF"/>
    <w:rsid w:val="0084396E"/>
    <w:rsid w:val="00847B8E"/>
    <w:rsid w:val="00847D25"/>
    <w:rsid w:val="00850FC0"/>
    <w:rsid w:val="00851026"/>
    <w:rsid w:val="00852944"/>
    <w:rsid w:val="00862F40"/>
    <w:rsid w:val="008656DD"/>
    <w:rsid w:val="00876237"/>
    <w:rsid w:val="00884D4D"/>
    <w:rsid w:val="00887440"/>
    <w:rsid w:val="00890559"/>
    <w:rsid w:val="0089297C"/>
    <w:rsid w:val="0089354A"/>
    <w:rsid w:val="008936E4"/>
    <w:rsid w:val="0089783C"/>
    <w:rsid w:val="00897F88"/>
    <w:rsid w:val="008A237D"/>
    <w:rsid w:val="008A4A04"/>
    <w:rsid w:val="008A6ADA"/>
    <w:rsid w:val="008A7EB8"/>
    <w:rsid w:val="008C1DA9"/>
    <w:rsid w:val="008C7F38"/>
    <w:rsid w:val="008C7FFC"/>
    <w:rsid w:val="008D3202"/>
    <w:rsid w:val="008D47A1"/>
    <w:rsid w:val="008D584E"/>
    <w:rsid w:val="008E21A3"/>
    <w:rsid w:val="008E4047"/>
    <w:rsid w:val="008E5985"/>
    <w:rsid w:val="008E6CD8"/>
    <w:rsid w:val="008F7632"/>
    <w:rsid w:val="00901C1F"/>
    <w:rsid w:val="009137CB"/>
    <w:rsid w:val="0091578D"/>
    <w:rsid w:val="00917E5E"/>
    <w:rsid w:val="00925A85"/>
    <w:rsid w:val="00931669"/>
    <w:rsid w:val="009403B1"/>
    <w:rsid w:val="00941868"/>
    <w:rsid w:val="0094718C"/>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08D5"/>
    <w:rsid w:val="009D1B5C"/>
    <w:rsid w:val="009D24F1"/>
    <w:rsid w:val="009D31A4"/>
    <w:rsid w:val="009D60F1"/>
    <w:rsid w:val="009E560D"/>
    <w:rsid w:val="009E6239"/>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54C8D"/>
    <w:rsid w:val="00A619D9"/>
    <w:rsid w:val="00A67269"/>
    <w:rsid w:val="00A76648"/>
    <w:rsid w:val="00A7687B"/>
    <w:rsid w:val="00A76D6F"/>
    <w:rsid w:val="00A82CC0"/>
    <w:rsid w:val="00A83CB7"/>
    <w:rsid w:val="00A8543B"/>
    <w:rsid w:val="00A8726C"/>
    <w:rsid w:val="00AA334A"/>
    <w:rsid w:val="00AA7A36"/>
    <w:rsid w:val="00AB682D"/>
    <w:rsid w:val="00AC3AEA"/>
    <w:rsid w:val="00AC6EE3"/>
    <w:rsid w:val="00AD0F3E"/>
    <w:rsid w:val="00AD15DA"/>
    <w:rsid w:val="00AD616C"/>
    <w:rsid w:val="00AD6852"/>
    <w:rsid w:val="00AE627C"/>
    <w:rsid w:val="00AE64A4"/>
    <w:rsid w:val="00AF3549"/>
    <w:rsid w:val="00AF78A7"/>
    <w:rsid w:val="00B352B6"/>
    <w:rsid w:val="00B3585C"/>
    <w:rsid w:val="00B41E39"/>
    <w:rsid w:val="00B47726"/>
    <w:rsid w:val="00B51969"/>
    <w:rsid w:val="00B564FF"/>
    <w:rsid w:val="00B73582"/>
    <w:rsid w:val="00B77C82"/>
    <w:rsid w:val="00B8107B"/>
    <w:rsid w:val="00BB11D2"/>
    <w:rsid w:val="00BC0619"/>
    <w:rsid w:val="00BC1DBF"/>
    <w:rsid w:val="00BC3677"/>
    <w:rsid w:val="00BD1725"/>
    <w:rsid w:val="00BD603B"/>
    <w:rsid w:val="00BD6430"/>
    <w:rsid w:val="00BF2B74"/>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5BA"/>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04A46"/>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E3C4E"/>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5719A"/>
    <w:rsid w:val="00E602CC"/>
    <w:rsid w:val="00E61139"/>
    <w:rsid w:val="00E6442E"/>
    <w:rsid w:val="00E64E87"/>
    <w:rsid w:val="00E65B23"/>
    <w:rsid w:val="00E70F16"/>
    <w:rsid w:val="00E7138A"/>
    <w:rsid w:val="00E74EE5"/>
    <w:rsid w:val="00E83972"/>
    <w:rsid w:val="00E916C8"/>
    <w:rsid w:val="00EA3F3C"/>
    <w:rsid w:val="00EB022D"/>
    <w:rsid w:val="00EB02F5"/>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1EA8"/>
    <w:rsid w:val="00F6206F"/>
    <w:rsid w:val="00F636C8"/>
    <w:rsid w:val="00F63C9D"/>
    <w:rsid w:val="00F6587E"/>
    <w:rsid w:val="00F739CF"/>
    <w:rsid w:val="00F73A15"/>
    <w:rsid w:val="00F76BA4"/>
    <w:rsid w:val="00F9215C"/>
    <w:rsid w:val="00F96704"/>
    <w:rsid w:val="00FA024C"/>
    <w:rsid w:val="00FA14C9"/>
    <w:rsid w:val="00FA18C0"/>
    <w:rsid w:val="00FA4D6B"/>
    <w:rsid w:val="00FA7B6C"/>
    <w:rsid w:val="00FB0C6C"/>
    <w:rsid w:val="00FB5D30"/>
    <w:rsid w:val="00FD7559"/>
    <w:rsid w:val="00FE14A8"/>
    <w:rsid w:val="00FE35BD"/>
    <w:rsid w:val="00FE662B"/>
    <w:rsid w:val="00FF66DE"/>
    <w:rsid w:val="11A86A52"/>
    <w:rsid w:val="2B83097A"/>
    <w:rsid w:val="2CBC3860"/>
    <w:rsid w:val="4B6A5D30"/>
    <w:rsid w:val="516D6E4E"/>
    <w:rsid w:val="709C2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字符"/>
    <w:link w:val="5"/>
    <w:qFormat/>
    <w:uiPriority w:val="0"/>
    <w:rPr>
      <w:kern w:val="2"/>
      <w:sz w:val="18"/>
      <w:szCs w:val="18"/>
    </w:rPr>
  </w:style>
  <w:style w:type="character" w:customStyle="1" w:styleId="11">
    <w:name w:val="页脚 字符"/>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字符"/>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4</Pages>
  <Words>1691</Words>
  <Characters>1705</Characters>
  <Lines>13</Lines>
  <Paragraphs>3</Paragraphs>
  <TotalTime>7</TotalTime>
  <ScaleCrop>false</ScaleCrop>
  <LinksUpToDate>false</LinksUpToDate>
  <CharactersWithSpaces>1738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2024-09-24T01:20:00Z</dcterms:created>
  <dc:creator>李丽兰</dc:creator>
  <cp:lastModifiedBy>宋江南</cp:lastModifiedBy>
  <cp:lastPrinted>2018-07-16T02:14:00Z</cp:lastPrinted>
  <dcterms:modified xsi:type="dcterms:W3CDTF">2025-09-30T02:11:59Z</dcterms:modified>
  <dc:title>关于编制2002年硕士研究生招生专业目录的通知</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37026C94D4BD4A4CB4B10A435093B105_13</vt:lpwstr>
  </property>
  <property fmtid="{D5CDD505-2E9C-101B-9397-08002B2CF9AE}" pid="4" name="KSOTemplateDocerSaveRecord">
    <vt:lpwstr>eyJoZGlkIjoiM2QxOTExYWIyZjZjNzRmNTVjZTNmZjZmYTRkODBiMzYiLCJ1c2VySWQiOiIzNzc5ODQ5MDgifQ==</vt:lpwstr>
  </property>
</Properties>
</file>